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authority of certain county fire marshals to inspect group homes;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352.0165.</w:t>
      </w:r>
      <w:r>
        <w:rPr>
          <w:u w:val="single"/>
        </w:rPr>
        <w:t xml:space="preserve"> </w:t>
      </w:r>
      <w:r>
        <w:rPr>
          <w:u w:val="single"/>
        </w:rPr>
        <w:t xml:space="preserve"> </w:t>
      </w:r>
      <w:r>
        <w:rPr>
          <w:u w:val="single"/>
        </w:rPr>
        <w:t xml:space="preserve">INSPECTION OF GROUP HOMES IN CERTAIN COUNTIES; FEE.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"Group home" means an establishment: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three or more individuals who are unrelated to the owner or operator of the establishment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provides residential care services to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w:t>
      </w:r>
      <w:r>
        <w:rPr>
          <w:u w:val="single"/>
        </w:rPr>
        <w:t xml:space="preserve"> </w:t>
      </w:r>
      <w:r>
        <w:rPr>
          <w:u w:val="single"/>
        </w:rPr>
        <w:t xml:space="preserve">does not apply to a building owned or operated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that is required to be licensed under Chapter 142, 242, 246, 247, or 252,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that is exempt from licensing under Section 142.003(a)(19), 242.003(3), or 247.004(4),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complaint of any person, the county fire marshal, at any reasonable time,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in the county in which a group home is operated;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premises of a building described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fire marshal shall order the removal of a building in which a group home is located, the removal of a structure located on the premises of a building in which a group home is located, or other remedial action if the marshal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dangerous condition is created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person to whom an order under Subsection (e) is directed shall immediately comply with the order.  The marshal may, if necessary, apply to a court of competent jurisdiction for writs or orders necessary to enforce this section, and the court may grant appropriate relief.  The marshal is not required to give a bond.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commissioners court of a county shall prescribe a reasonable fee for an inspection performed by the county fire marshal that may be charged to a property owner or occupant who requests the inspection, as the commissioners court considers appropriate.  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An owner or occupant who is subject to an order issued under Section 352.016 </w:t>
      </w:r>
      <w:r>
        <w:rPr>
          <w:u w:val="single"/>
        </w:rPr>
        <w:t xml:space="preserve">or 352.0165</w:t>
      </w:r>
      <w:r>
        <w:t xml:space="preserve"> commits an offense if that person fails to comply with the order.  Each refusal to comply is a separate offense.  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504 passed the Senate on May</w:t>
      </w:r>
      <w:r xml:space="preserve">
        <w:t> </w:t>
      </w:r>
      <w:r>
        <w:t xml:space="preserve">4,</w:t>
      </w:r>
      <w:r xml:space="preserve">
        <w:t> </w:t>
      </w:r>
      <w:r>
        <w:t xml:space="preserve">2021, by the following vote:  Yeas</w:t>
      </w:r>
      <w:r xml:space="preserve">
        <w:t> </w:t>
      </w:r>
      <w:r>
        <w:t xml:space="preserve">30, Nays</w:t>
      </w:r>
      <w:r xml:space="preserve">
        <w:t> </w:t>
      </w:r>
      <w:r>
        <w:t xml:space="preserve">0; and that the Senate concurred in House amendment on May</w:t>
      </w:r>
      <w:r xml:space="preserve">
        <w:t> </w:t>
      </w:r>
      <w:r>
        <w:t xml:space="preserve">29,</w:t>
      </w:r>
      <w:r xml:space="preserve">
        <w:t> </w:t>
      </w:r>
      <w:r>
        <w:t xml:space="preserve">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504 passed the House, with amendment, on May</w:t>
      </w:r>
      <w:r xml:space="preserve">
        <w:t> </w:t>
      </w:r>
      <w:r>
        <w:t xml:space="preserve">26,</w:t>
      </w:r>
      <w:r xml:space="preserve">
        <w:t> </w:t>
      </w:r>
      <w:r>
        <w:t xml:space="preserve">2021, by the following vote:  Yeas</w:t>
      </w:r>
      <w:r xml:space="preserve">
        <w:t> </w:t>
      </w:r>
      <w:r>
        <w:t xml:space="preserve">110, Nays</w:t>
      </w:r>
      <w:r xml:space="preserve">
        <w:t> </w:t>
      </w:r>
      <w:r>
        <w:t xml:space="preserve">37,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