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pPr>
      <w:r>
        <w:t xml:space="preserve">By:</w:t>
      </w:r>
      <w:r xml:space="preserve">
        <w:t> </w:t>
      </w:r>
      <w:r xml:space="preserve">
        <w:t> </w:t>
      </w:r>
      <w:r>
        <w:t xml:space="preserve">Nichols, Hinojosa</w:t>
      </w:r>
    </w:p>
    <w:p w:rsidR="003F3435" w:rsidRDefault="0032493E">
      <w:pPr>
        <w:jc w:val="both"/>
        <w:tabs>
          <w:tab w:val="right" w:leader="none" w:pos="9350"/>
        </w:tabs>
      </w:pPr>
      <w:r xml:space="preserve">
        <w:t> </w:t>
      </w:r>
      <w:r xml:space="preserve">
        <w:t> </w:t>
      </w:r>
      <w:r xml:space="preserve">
        <w:t> </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507</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accommodation process authorizing the use of state highway rights-of-way by broadband-only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Transportation Code, is amended by adding Section 250.002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250.002.</w:t>
      </w:r>
      <w:r>
        <w:rPr>
          <w:u w:val="single"/>
        </w:rPr>
        <w:t xml:space="preserve"> </w:t>
      </w:r>
      <w:r>
        <w:rPr>
          <w:u w:val="single"/>
        </w:rPr>
        <w:t xml:space="preserve"> </w:t>
      </w:r>
      <w:r>
        <w:rPr>
          <w:u w:val="single"/>
        </w:rPr>
        <w:t xml:space="preserve">RIGHT-OF-WAY ACCOMMODATION FOR BROADBAND-ONLY PROVIDERS.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"Broadband-only provider" means an entity that exclusively provides broadband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"Broadband service"</w:t>
      </w:r>
      <w:r>
        <w:rPr>
          <w:u w:val="single"/>
        </w:rPr>
        <w:t xml:space="preserve"> </w:t>
      </w:r>
      <w:r>
        <w:rPr>
          <w:u w:val="single"/>
        </w:rPr>
        <w:t xml:space="preserve">means Internet service with the capability of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download speed of 25 megabits per second or faster;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upload speed of three megabits per second or faster.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a competitively and technologically neutral and nondiscriminatory basis with respect to other providers of broadband service, establish an accommodation process that authorizes broadband-only providers to use state highway rights-of-way, subject to highway purposes,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new broadband facility installations;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additions to or maintenance of existing broadband facility installations;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adjustments or relocations of broadband facilities;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existing broadband facilities retained within the rights-of-way;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minimum requirements for the accommodation, method, materials, and location for the installation, adjustment, and maintenance of broadband facilities under the accommodation process.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the first anniversary of the effective date of this Act, the Texas Transportation Commission shall adopt the rules required by Section 250.002, Transportation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