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87R3564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network" means a network of pharmacies that have contracted with a pharmacy benefit manager to provide pharmacist services to enrollees.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quality assurance program, other direct or indirect remuneration fee, or otherwise,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accordance with an audit performed under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mutual agreement of the parties under a pharmacy benefit network contract under which the health benefit plan issuer or pharmacy benefit manager does not require as a condition of the pharmacy benefit network contract or of participation in the pharmacy benefit network that a pharmacist or pharmacy agree to allow the health benefit plan issuer or pharmacy benefit manager to reduce the amount of a claim payment to the pharmacist or pharmacy after adjudication of the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1369.555.</w:t>
      </w:r>
      <w:r>
        <w:rPr>
          <w:u w:val="single"/>
        </w:rPr>
        <w:t xml:space="preserve"> </w:t>
      </w:r>
      <w:r>
        <w:rPr>
          <w:u w:val="single"/>
        </w:rPr>
        <w:t xml:space="preserve"> </w:t>
      </w:r>
      <w:r>
        <w:rPr>
          <w:u w:val="single"/>
        </w:rPr>
        <w:t xml:space="preserve">NETWORK CONTRACT FEE SCHEDULE.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1369.557.</w:t>
      </w:r>
      <w:r>
        <w:rPr>
          <w:u w:val="single"/>
        </w:rPr>
        <w:t xml:space="preserve"> </w:t>
      </w:r>
      <w:r>
        <w:rPr>
          <w:u w:val="single"/>
        </w:rPr>
        <w:t xml:space="preserve"> </w:t>
      </w:r>
      <w:r>
        <w:rPr>
          <w:u w:val="single"/>
        </w:rPr>
        <w:t xml:space="preserve">DELIVERY OF DRUGS.  (a)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health benefit plan issuer or pharmacy benefit manager may as a condition of contract prohibit a pharmacist or pharmacy from mailing the drugs for more than 25 percent of the claims the pharmacist or pharmacy submits to the health benefit plan issuer or pharmacy benefit manager during a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1369.558.</w:t>
      </w:r>
      <w:r>
        <w:rPr>
          <w:u w:val="single"/>
        </w:rPr>
        <w:t xml:space="preserve"> </w:t>
      </w:r>
      <w:r>
        <w:rPr>
          <w:u w:val="single"/>
        </w:rPr>
        <w:t xml:space="preserve"> </w:t>
      </w:r>
      <w:r>
        <w:rPr>
          <w:u w:val="single"/>
        </w:rPr>
        <w:t xml:space="preserve">PROFESSIONAL STANDARDS AND SCOPE OF PRACTICE REQUIREMENTS.  (a)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(b), 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require as a condition of a contract with a specialty pharmacy that the specialty pharmacy obtain accreditation from not more than two of the following independent accreditation organizations: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URAC, formerly the Utilization Review Accreditation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Joint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Accreditation Commission for Health Care (ACHC);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Center for Pharmacy Practice Accreditation (CPPA);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National Committee for Quality Assurance (NCQA).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1369.559.</w:t>
      </w:r>
      <w:r>
        <w:rPr>
          <w:u w:val="single"/>
        </w:rPr>
        <w:t xml:space="preserve"> </w:t>
      </w:r>
      <w:r>
        <w:rPr>
          <w:u w:val="single"/>
        </w:rPr>
        <w:t xml:space="preserve"> </w:t>
      </w:r>
      <w:r>
        <w:rPr>
          <w:u w:val="single"/>
        </w:rPr>
        <w:t xml:space="preserve">RETALIATION PROHIBITED.  (a)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pharmacy benefit manager is not considered to have retaliated against a pharmacist or pharmacy if the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action in response to a credible allegation of fraud against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reasonable notice to the pharmacist or pharmacy of the allegation of fraud and the basis of the allegation before taking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1369.560.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