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87R6178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532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of certain defendants on personal bond or on bail.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Caitlynne Rose Infinger Guajardo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17.03, Code of Criminal Procedure, is amended by amending Subsection (a) and adding Subsection (b-2)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w:t>
      </w:r>
      <w:r>
        <w:rPr>
          <w:u w:val="single"/>
        </w:rPr>
        <w:t xml:space="preserve">,</w:t>
      </w:r>
      <w:r>
        <w:t xml:space="preserve"> [</w:t>
      </w:r>
      <w:r>
        <w:rPr>
          <w:strike/>
        </w:rPr>
        <w:t xml:space="preserve">or</w:t>
      </w:r>
      <w:r>
        <w:t xml:space="preserve">] (b-1), </w:t>
      </w:r>
      <w:r>
        <w:rPr>
          <w:u w:val="single"/>
        </w:rPr>
        <w:t xml:space="preserve">or (b-2),</w:t>
      </w:r>
      <w:r>
        <w:t xml:space="preserve"> a magistrate may, in the magistrate's discretion, release the defendant on personal bond without sureties or other security.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magistrate may not release on personal bond a defendant who is charged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alleged to have been committed while the defendant was released on personal bond for another offense;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punishable as a felony if two or more other felony charges are pending against the defendant.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 Code of Criminal Procedure, is amended by adding Article 17.1501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17.1501.</w:t>
      </w:r>
      <w:r>
        <w:rPr>
          <w:u w:val="single"/>
        </w:rPr>
        <w:t xml:space="preserve"> </w:t>
      </w:r>
      <w:r>
        <w:rPr>
          <w:u w:val="single"/>
        </w:rPr>
        <w:t xml:space="preserve"> </w:t>
      </w:r>
      <w:r>
        <w:rPr>
          <w:u w:val="single"/>
        </w:rPr>
        <w:t xml:space="preserve">MINIMUM AMOUNT OF BAIL FOR DEFENDANT CHARGED WITH MULTIPLE FELONIES.  The amount of bail required for a defendant who is charged with three or more felony offenses, regardless of whether each charge is pending before the same court, shall be set in an amount not less than $10,000 for each felony offense charged against the defendant.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