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87R2719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of a defendant's criminal history before any release of the defendant on bail.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17.034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17.034.</w:t>
      </w:r>
      <w:r>
        <w:rPr>
          <w:u w:val="single"/>
        </w:rPr>
        <w:t xml:space="preserve"> </w:t>
      </w:r>
      <w:r>
        <w:rPr>
          <w:u w:val="single"/>
        </w:rPr>
        <w:t xml:space="preserve"> </w:t>
      </w:r>
      <w:r>
        <w:rPr>
          <w:u w:val="single"/>
        </w:rPr>
        <w:t xml:space="preserve">REVIEW OF DEFENDANT'S CRIMINAL HISTORY.  (a)  A judge or magistrate must, before setting the amount of a defendant's bail or releasing a defendant on personal bond, enter into the record a written statement confirming that the judge or magistrate has reviewed and considered the defendant's criminal history as part of the proceedings for granting bail.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statement described by Subsection (a) must be made available to the public on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the effective date of this Act. </w:t>
      </w:r>
      <w:r>
        <w:t xml:space="preserve"> </w:t>
      </w:r>
      <w:r>
        <w:t xml:space="preserve">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