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certain minors to consent to examination and postpartum or contraception-related medical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32.003(a), Family Code, is amended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w:t>
      </w:r>
      <w:r>
        <w:rPr>
          <w:u w:val="single"/>
        </w:rPr>
        <w:t xml:space="preserve">, or recently pregnant,</w:t>
      </w:r>
      <w:r>
        <w:t xml:space="preserve"> and consents to hospital, medical, or surgical treatment, other than abortion, related to the pregnancy</w:t>
      </w:r>
      <w:r>
        <w:rPr>
          <w:u w:val="single"/>
        </w:rPr>
        <w:t xml:space="preserve">, including postpartum medical treatment</w:t>
      </w:r>
      <w:r>
        <w:t xml:space="preserve">;</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unmarried, is the mother of a child, and consents to examination or contraception-related medical treatment, other than abortion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