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2157.182, Government Code, is amended to read as follows:</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comptroller, and the department agree are valid for </w:t>
      </w:r>
      <w:r>
        <w:rPr>
          <w:u w:val="single"/>
        </w:rPr>
        <w:t xml:space="preserve">the duration of the initial contract</w:t>
      </w:r>
      <w:r>
        <w:t xml:space="preserve"> [</w:t>
      </w:r>
      <w:r>
        <w:rPr>
          <w:strike/>
        </w:rPr>
        <w:t xml:space="preserve">two years after the date of the agreement</w:t>
      </w:r>
      <w:r>
        <w:t xml:space="preserve">] and must </w:t>
      </w:r>
      <w:r>
        <w:rPr>
          <w:u w:val="single"/>
        </w:rPr>
        <w:t xml:space="preserve">include a provision authorizing the department to renegotiate</w:t>
      </w:r>
      <w:r>
        <w:t xml:space="preserve"> [</w:t>
      </w:r>
      <w:r>
        <w:rPr>
          <w:strike/>
        </w:rPr>
        <w:t xml:space="preserve">provide that</w:t>
      </w:r>
      <w:r>
        <w:t xml:space="preserve">] the terms and conditions </w:t>
      </w:r>
      <w:r>
        <w:rPr>
          <w:u w:val="single"/>
        </w:rPr>
        <w:t xml:space="preserve">at any time before the contract expires</w:t>
      </w:r>
      <w:r>
        <w:t xml:space="preserve"> [</w:t>
      </w:r>
      <w:r>
        <w:rPr>
          <w:strike/>
        </w:rPr>
        <w:t xml:space="preserve">are to be renegotiated before the end of the two years</w:t>
      </w:r>
      <w:r>
        <w:t xml:space="preserve">].</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w:t>
      </w:r>
      <w:r>
        <w:rPr>
          <w:u w:val="single"/>
        </w:rPr>
        <w:t xml:space="preserve">may be</w:t>
      </w:r>
      <w:r>
        <w:t xml:space="preserve"> [</w:t>
      </w:r>
      <w:r>
        <w:rPr>
          <w:strike/>
        </w:rPr>
        <w:t xml:space="preserve">are</w:t>
      </w:r>
      <w:r>
        <w:t xml:space="preserve">] renegotiated before they expire in a contract between the vendor and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2157.182, Government Code, as amended by this Act, applies only to a contract executed on or after the effective date of this Act. </w:t>
      </w:r>
      <w:r>
        <w:t xml:space="preserve"> </w:t>
      </w:r>
      <w:r>
        <w:t xml:space="preserve">A contract executed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