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report regarding certain dog bites.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822, Health and Safety Code, is amended by adding Section 822.008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822.008.</w:t>
      </w:r>
      <w:r>
        <w:rPr>
          <w:u w:val="single"/>
        </w:rPr>
        <w:t xml:space="preserve"> </w:t>
      </w:r>
      <w:r>
        <w:rPr>
          <w:u w:val="single"/>
        </w:rPr>
        <w:t xml:space="preserve"> </w:t>
      </w:r>
      <w:r>
        <w:rPr>
          <w:u w:val="single"/>
        </w:rPr>
        <w:t xml:space="preserve">ANNUAL REPORT OF DOG BITES.  Each animal control authority shall submit to the Department of State Health Services in the form and manner prescribed by the department an annual report regarding dog bites that occurred in the preceding year in the authority's jurisdiction and resulted in bodily injury, serious bodily injury, or death of a person.  The report must include the following information for each dog bite: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dog bite;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or municipality in which the dog bite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 of the victim of the dog bite;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breed of the dog that caused the dog bite;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dog bite resulted in bodily injury, serious bodily injury, or death;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victim as a result of the injuries sustained received: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emergency medical treatment at an emergency medical care facility or hospital emergency room;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inpatient treatment at a hospital;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dog was previously determined to be a dangerous dog under Subchapter 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whether the dog had previously bitten a person, resulting in bodily injury, serious bodily injury, or death;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as a result of the dog bite a person was charged with a criminal offense under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822.008, Health and Safety Code, as added by this Act, an animal control authority is not required to submit a report until December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