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552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w:t>
      </w:r>
      <w:r xml:space="preserve">
        <w:t> </w:t>
      </w:r>
      <w:r>
        <w:t xml:space="preserve">2021; March</w:t>
      </w:r>
      <w:r xml:space="preserve">
        <w:t> </w:t>
      </w:r>
      <w:r>
        <w:t xml:space="preserve">11,</w:t>
      </w:r>
      <w:r xml:space="preserve">
        <w:t> </w:t>
      </w:r>
      <w:r>
        <w:t xml:space="preserve">2021, read first time and referred to Committee on Health &amp; Human Services; April</w:t>
      </w:r>
      <w:r xml:space="preserve">
        <w:t> </w:t>
      </w:r>
      <w:r>
        <w:t xml:space="preserve">19,</w:t>
      </w:r>
      <w:r xml:space="preserve">
        <w:t> </w:t>
      </w:r>
      <w:r>
        <w:t xml:space="preserve">2021, reported favorably by the following vote:</w:t>
      </w:r>
      <w:r>
        <w:t xml:space="preserve"> </w:t>
      </w:r>
      <w:r>
        <w:t xml:space="preserve"> </w:t>
      </w:r>
      <w:r>
        <w:t xml:space="preserve">Yeas 8, Nays 0; April</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annual report regarding certain dog bites.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822, Health and Safety Code, is amended by adding Section 822.008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822.008.</w:t>
      </w:r>
      <w:r>
        <w:rPr>
          <w:u w:val="single"/>
        </w:rPr>
        <w:t xml:space="preserve"> </w:t>
      </w:r>
      <w:r>
        <w:rPr>
          <w:u w:val="single"/>
        </w:rPr>
        <w:t xml:space="preserve"> </w:t>
      </w:r>
      <w:r>
        <w:rPr>
          <w:u w:val="single"/>
        </w:rPr>
        <w:t xml:space="preserve">ANNUAL REPORT OF DOG BITES.  Each animal control authority shall submit to the Department of State Health Services in the form and manner prescribed by the department an annual report regarding dog bites that occurred in the preceding year in the authority's jurisdiction and resulted in bodily injury, serious bodily injury, or death of a person.  The report must include the following information for each dog bite: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dog bite;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or municipality in which the dog bite occurred;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age of the victim of the dog bite;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breed of the dog that caused the dog bite;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dog bite resulted in bodily injury, serious bodily injury, or death;</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victim as a result of the injuries sustained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emergency medical treatment at an emergency medical care facility or hospital emergency room;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inpatient treatment at a hospital;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whether the dog was previously determined to be a dangerous dog under Subchapter 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the dog had previously bitten a person, resulting in bodily injury, serious bodily injury, or death;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whether as a result of the dog bite a person was charged with a criminal offense under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822.008, Health and Safety Code, as added by this Act, an animal control authority is not required to submit a report until December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