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87R2757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556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or attempted acquisition of a firearm by a person prohibited from possessing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46.06, Penal Code, is amended by amending Subsections (a)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knowingly acquires or attempts to acquire a firearm while the actor is prohibited from possessing a firearm by a state law or a federal law other than 18 U.S.C. Section 922(g)(4)</w:t>
      </w:r>
      <w:r>
        <w:t xml:space="preserve">.</w:t>
      </w:r>
    </w:p>
    <w:p w:rsidR="003F3435" w:rsidRDefault="0032493E">
      <w:pPr>
        <w:spacing w:line="480" w:lineRule="auto"/>
        <w:ind w:firstLine="720"/>
        <w:jc w:val="both"/>
      </w:pPr>
      <w:r>
        <w:t xml:space="preserve">(d)</w:t>
      </w:r>
      <w:r xml:space="preserve">
        <w:t> </w:t>
      </w:r>
      <w:r xml:space="preserve">
        <w:t> </w:t>
      </w:r>
      <w:r>
        <w:t xml:space="preserve">An offense under </w:t>
      </w:r>
      <w:r>
        <w:rPr>
          <w:u w:val="single"/>
        </w:rPr>
        <w:t xml:space="preserve">Subsection (a)</w:t>
      </w:r>
      <w:r>
        <w:t xml:space="preserve"> </w:t>
      </w:r>
      <w:r>
        <w:t xml:space="preserve">[</w:t>
      </w:r>
      <w:r>
        <w:rPr>
          <w:strike/>
        </w:rPr>
        <w:t xml:space="preserve">this section</w:t>
      </w:r>
      <w:r>
        <w:t xml:space="preserve">] is a Class A misdemeanor, except that an offense under Subsection (a)(2) is a state jail felony if the weapon that is the subject of the offense is a handgun.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licensed firearms dealer under 18 U.S.C. Section 923 who declines to transfer a firearm to a prospective transferee because the National Instant Criminal Background Check System indicates that the prospective transferee is prohibited from possessing a firearm shall notify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411, Government Code, is amended by adding Section 411.0525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411.0525.</w:t>
      </w:r>
      <w:r>
        <w:rPr>
          <w:u w:val="single"/>
        </w:rPr>
        <w:t xml:space="preserve"> </w:t>
      </w:r>
      <w:r>
        <w:rPr>
          <w:u w:val="single"/>
        </w:rPr>
        <w:t xml:space="preserve"> </w:t>
      </w:r>
      <w:r>
        <w:rPr>
          <w:u w:val="single"/>
        </w:rPr>
        <w:t xml:space="preserve">INVESTIGATION OF LICENSED FIREARMS DEALER REPORT.  (a)  If the department receives a report under Section 46.06(e), Penal Code, from a licensed firearms dealer under 18 U.S.C. Section 923, the department shall initiate an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department's investigation under this section produces evidence that a person may have violated Section 46.06, Penal Code, the department shall refer the case to the appropriate local authorities for further investigation and possible prosecution.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