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560</w:t>
      </w:r>
    </w:p>
    <w:p w:rsidR="003F3435" w:rsidRDefault="0032493E">
      <w:pPr>
        <w:ind w:firstLine="720"/>
        <w:jc w:val="both"/>
      </w:pPr>
      <w:r>
        <w:t xml:space="preserve">(Guerra, Campos, Lopez, Morales Shaw, Morales of Maverick)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developing a strategic plan for the improvement and expansion of high-quality bilingual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29, Education Code, is amended by adding Section 29.067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29.067.</w:t>
      </w:r>
      <w:r>
        <w:rPr>
          <w:u w:val="single"/>
        </w:rPr>
        <w:t xml:space="preserve"> </w:t>
      </w:r>
      <w:r>
        <w:rPr>
          <w:u w:val="single"/>
        </w:rPr>
        <w:t xml:space="preserve"> </w:t>
      </w:r>
      <w:r>
        <w:rPr>
          <w:u w:val="single"/>
        </w:rPr>
        <w:t xml:space="preserve">STRATEGIC PLAN TO IMPROVE AND EXPAND BILINGUAL EDUCATION.  (a)  In this section, "general academic teaching institution"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in collaboration with the Texas Higher Education Coordinating Board and the Texas Workforce Commission, shall develop a strategic plan that sets tangible goals and establishes timelines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the number of educators certified under Subchapter B, Chapter 21, in bilingual education instruction;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dual language immersion/one-way and two-way program models used in public schools;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educate families and school district employees regarding the importance of bilingual education in early childhood;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a uniform process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identifying students in prekindergarten through 12th grade of limited English proficiency;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monitoring the bilingual learning of students in prekindergarten through 12th grade;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collecting data regarding the identification and monitoring under Paragraphs (A) and (B);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increase the number of bilingual and multilingual high school graduates.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strategic plan,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consult with appropriate representatives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general academic teaching institutions;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schools;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early childhood education programs;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parents and legal guardians of public school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collaborate with representatives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regional, and local agencies;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nonprofit organizations;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social services providers;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faith-based organizations;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business community;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study the use of the Bilingual Target Language Proficiency Test to certify educators in bilingual education instruction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determine: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impact of using that test to assess the critical competencies necessary to instruct bilingual programs at each grade level;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any barriers to the certification of bilingual educators exist based on differences between the dialect of the educator and the dialect used on the test;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recommendations to modify or revise the assessments used to certify educators in bilingual education instruction to enhance the competency of educators serving bilingual programs.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submit the plan developed under this section to the governor, the lieutenant governor, the speaker of the house of representatives, and each member of the standing committees of the senate and house of representatives having primary jurisdiction over public education not later than December 1, 2022.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