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87R5531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562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 of certain personal information from driver's license records maintained by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521.050(a),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provisions of this subchapter relating to the disclosure of driver's license information on an individual, the department may provide a purchaser, in a format prescribed by the department and acceptable to the purchaser, the names, addresses, and dates of birth of all license holders that are contained in the department's basic driver's license record file if the purchaser certifies in writing that the purchaser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is eligible to receive the information under Chapter 730</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experienced a breach of system security, as defined by Section 521.053, Business &amp; Commerce Code, in the previous five years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521.050, Transportation Code, as amended by this Act, applies only to the disclosure by the Department of Public Safety of driver's license information in response to a request for the information that is made on or after the effective date of this Act.  The disclosure by the Department of Public Safety of driver's license information in response to a request for the information that is made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