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87R4996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commissioners court of the county in which the project is located, if the project is not located in the corporate limits or extraterritorial jurisdiction of a municipality;</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