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567</w:t>
      </w:r>
    </w:p>
    <w:p w:rsidR="003F3435" w:rsidRDefault="0032493E">
      <w:pPr>
        <w:ind w:firstLine="720"/>
        <w:jc w:val="both"/>
      </w:pPr>
      <w:r>
        <w:t xml:space="preserve">(Neave)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a domestic relations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203.004(a),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203.004.</w:t>
      </w:r>
      <w:r xml:space="preserve">
        <w:t> </w:t>
      </w:r>
      <w:r xml:space="preserve">
        <w:t> </w:t>
      </w:r>
      <w:r>
        <w:t xml:space="preserve">POWERS AND DUTIES.  (a) </w:t>
      </w:r>
      <w:r>
        <w:t xml:space="preserve"> </w:t>
      </w:r>
      <w:r>
        <w:t xml:space="preserve">A domestic relations office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collect and disburse child support payments that are ordered by a court to be paid through a domestic relations registry;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maintain records of payments and disbursements made under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file a suit </w:t>
      </w:r>
      <w:r>
        <w:rPr>
          <w:u w:val="single"/>
        </w:rPr>
        <w:t xml:space="preserve">under this title</w:t>
      </w:r>
      <w:r>
        <w:t xml:space="preserve">, including a suit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establish paternity;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enforce</w:t>
      </w:r>
      <w:r>
        <w:rPr>
          <w:u w:val="single"/>
        </w:rPr>
        <w:t xml:space="preserve">, clarify or modify</w:t>
      </w:r>
      <w:r>
        <w:t xml:space="preserve"> a court order for child support or for possession of and access to a child; [</w:t>
      </w:r>
      <w:r>
        <w:rPr>
          <w:strike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modify or clarify an existing child support order;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provide an informal forum in which alternative dispute resolution is used to resolve disputes under this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prepare a court-ordered child custody evaluation or adoption evaluation under Chapter 107;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represent a child as an amicus attorney, an attorney ad litem, or a guardian ad litem in a suit in which: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termination of the parent-child relationship is sought;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conservatorship of or access to a child is contested;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serve as a friend of the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provide predivorce counseling ordered by a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provide community supervision services under Chapter 157;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provide information to assist a party in understanding, complying with, or enforcing the party's duties and obligations under </w:t>
      </w:r>
      <w:r>
        <w:rPr>
          <w:u w:val="single"/>
        </w:rPr>
        <w:t xml:space="preserve">this code</w:t>
      </w:r>
      <w:r>
        <w:t xml:space="preserve"> </w:t>
      </w:r>
      <w:r>
        <w:t xml:space="preserve">[</w:t>
      </w:r>
      <w:r>
        <w:rPr>
          <w:strike/>
        </w:rPr>
        <w:t xml:space="preserve">Subdivision (3)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provide, directly or through a contract, visitation services, including supervision of court-ordered visitation, visitation exchange, or other similar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issue an administrative writ of withholding under Subchapter F, Chapter 158;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provide parenting coordinator services under Chapter 153.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