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576</w:t>
      </w:r>
    </w:p>
    <w:p w:rsidR="003F3435" w:rsidRDefault="0032493E">
      <w:pPr>
        <w:ind w:firstLine="720"/>
        <w:jc w:val="both"/>
      </w:pPr>
      <w:r>
        <w:t xml:space="preserve">(Lozano)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smuggling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 Penal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"Agricultural land" has the meaning assigned by Section 75.001,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 investigator" includes an agent of the United States Department of Homeland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strike/>
        </w:rPr>
        <w:t xml:space="preserve">, with the intent to obtain a pecuniary benefit,</w:t>
      </w:r>
      <w:r>
        <w:t xml:space="preserve">]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assists, guides, or directs two or more individuals to enter or remain on agricultural land without the effective consent of the owner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actor commits the offense</w:t>
      </w:r>
      <w:r xml:space="preserve">
        <w:t> </w:t>
      </w:r>
      <w:r xml:space="preserve">
        <w:t> </w:t>
      </w:r>
      <w:r>
        <w:t xml:space="preserve">in a manner that creates a substantial likelihood that the smuggled individual will suffer serious bodily injury or death;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offense was committed with the intent to obtain a pecuniary benefit;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actor commits the offense under Subsection (a)(1)(B);</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