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filing of certain reports by distributors of certain off-highway vehicles purchased outside this state; providing civil penalties.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I-2, Chapter 151, Tax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I-2.  REPORTS BY MANUFACTURERS </w:t>
      </w:r>
      <w:r>
        <w:rPr>
          <w:u w:val="single"/>
        </w:rPr>
        <w:t xml:space="preserve">AND DISTRIBUTORS</w:t>
      </w:r>
      <w:r>
        <w:t xml:space="preserve"> OF CERTAIN OFF-HIGHWAY VEHICLES PURCHASED OUTSIDE THIS STATE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151.481, Tax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"Distributor" means a person that distributes off-highway vehicles and is required to hold a distributor's license under Chapter 2301, Occupations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"Manufacturer" means a person that manufactures off-highway vehicles and is required to hold a manufacturer's license under Chapter 2301,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151.482,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151.482.</w:t>
      </w:r>
      <w:r xml:space="preserve">
        <w:t> </w:t>
      </w:r>
      <w:r xml:space="preserve">
        <w:t> </w:t>
      </w:r>
      <w:r>
        <w:t xml:space="preserve">REPORTS BY MANUFACTURERS </w:t>
      </w:r>
      <w:r>
        <w:rPr>
          <w:u w:val="single"/>
        </w:rPr>
        <w:t xml:space="preserve">AND DISTRIBUTORS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151.482(a),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comptroller shall require each manufacturer </w:t>
      </w:r>
      <w:r>
        <w:rPr>
          <w:u w:val="single"/>
        </w:rPr>
        <w:t xml:space="preserve">and distributor</w:t>
      </w:r>
      <w:r>
        <w:t xml:space="preserve"> to file with the comptroller a report not later than March 1 of each year listing each warranty issued by the manufacturer </w:t>
      </w:r>
      <w:r>
        <w:rPr>
          <w:u w:val="single"/>
        </w:rPr>
        <w:t xml:space="preserve">or distributor</w:t>
      </w:r>
      <w:r>
        <w:t xml:space="preserve"> for a new off-highway vehicle that was, during the preceding calendar year, sold to a resident of this state by a retailer located outside this state. The report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a form prescribed by the comptroller;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contain, at a minimum, the following information for each warranty: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vehicle identification number of the vehicle;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make, model, and model year of the vehicle;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name and address, including street name and number, city, and zip code, of the purchaser of the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151.485,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151.485.</w:t>
      </w:r>
      <w:r xml:space="preserve">
        <w:t> </w:t>
      </w:r>
      <w:r xml:space="preserve">
        <w:t> </w:t>
      </w:r>
      <w:r>
        <w:t xml:space="preserve">CIVIL PENALTY.  (a)  If a manufacturer </w:t>
      </w:r>
      <w:r>
        <w:rPr>
          <w:u w:val="single"/>
        </w:rPr>
        <w:t xml:space="preserve">or distributor</w:t>
      </w:r>
      <w:r>
        <w:t xml:space="preserve"> fails to file a report required by this subchapter or fails to file a complete report, the comptroller may impose a civil penalty under Section 151.703(d).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penalty imposed under Subsection (a), a manufacturer </w:t>
      </w:r>
      <w:r>
        <w:rPr>
          <w:u w:val="single"/>
        </w:rPr>
        <w:t xml:space="preserve">or distributor</w:t>
      </w:r>
      <w:r>
        <w:t xml:space="preserve"> shall pay the state a civil penalty of not less than $25 or more than $2,000 for each day a violation continues if the manufacturer </w:t>
      </w:r>
      <w:r>
        <w:rPr>
          <w:u w:val="single"/>
        </w:rPr>
        <w:t xml:space="preserve">or distributor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violates this subchapter;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violates a rule adopted to administer or enforce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151.486,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151.486.</w:t>
      </w:r>
      <w:r xml:space="preserve">
        <w:t> </w:t>
      </w:r>
      <w:r xml:space="preserve">
        <w:t> </w:t>
      </w:r>
      <w:r>
        <w:t xml:space="preserve">ACTION BY TEXAS DEPARTMENT OF MOTOR VEHICLES.  If a manufacturer </w:t>
      </w:r>
      <w:r>
        <w:rPr>
          <w:u w:val="single"/>
        </w:rPr>
        <w:t xml:space="preserve">or distributor</w:t>
      </w:r>
      <w:r>
        <w:t xml:space="preserve"> fails to file a report required by this subchapter or fails to file a complete report, the comptroller may notify the Texas Department of Motor Vehicles of the failure and the department may take administrative action against the manufacturer </w:t>
      </w:r>
      <w:r>
        <w:rPr>
          <w:u w:val="single"/>
        </w:rPr>
        <w:t xml:space="preserve">or distributor</w:t>
      </w:r>
      <w:r>
        <w:t xml:space="preserve"> for the failure under Chapter 2301,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151.487,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151.487.</w:t>
      </w:r>
      <w:r xml:space="preserve">
        <w:t> </w:t>
      </w:r>
      <w:r xml:space="preserve">
        <w:t> </w:t>
      </w:r>
      <w:r>
        <w:t xml:space="preserve">AUDIT; INSPECTION.  The comptroller may audit, inspect, or otherwise verify a manufacturer's </w:t>
      </w:r>
      <w:r>
        <w:rPr>
          <w:u w:val="single"/>
        </w:rPr>
        <w:t xml:space="preserve">or distributor's</w:t>
      </w:r>
      <w:r>
        <w:t xml:space="preserve"> </w:t>
      </w:r>
      <w:r>
        <w:t xml:space="preserve">compliance with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March 1, 2022, a distributor shall submit the first report required by Section 151.482, Tax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