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87R3789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589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interim registry for certain persons who have been accused of employee misconduct and are employed by a facility that provides care to individuals with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253.003,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employee notified of the violation makes a timely request for a hearing on the determination, the commission shall record the reportable conduct in the interim registry under Section 253.0035 in a manner that is consistent with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253, Health and Safety Code, is amended by adding Section 253.0035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253.0035.</w:t>
      </w:r>
      <w:r>
        <w:rPr>
          <w:u w:val="single"/>
        </w:rPr>
        <w:t xml:space="preserve"> </w:t>
      </w:r>
      <w:r>
        <w:rPr>
          <w:u w:val="single"/>
        </w:rPr>
        <w:t xml:space="preserve"> </w:t>
      </w:r>
      <w:r>
        <w:rPr>
          <w:u w:val="single"/>
        </w:rPr>
        <w:t xml:space="preserve">INTERIM REGISTRY.  (a)  In this section and Section 253.003, "commission"</w:t>
      </w:r>
      <w:r>
        <w:rPr>
          <w:u w:val="single"/>
        </w:rPr>
        <w:t xml:space="preserve"> </w:t>
      </w:r>
      <w:r>
        <w:rPr>
          <w:u w:val="single"/>
        </w:rPr>
        <w:t xml:space="preserve">means the Health and Human Services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an interim registry of employees against whom a determination or finding of reportable conduct is made and who have made a timely request for a hearing on the determination or finding under Section 253.003 of this code or Section 48.404, Human Resources Code.  The information included in the interim registry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employee's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employee's social security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facility or individual employer of the employee;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address of the facility or individual employer of the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the reportable conduct occurred;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reportable 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allow providers participating in the home and community-based services (HCS) waiver program or the Texas home living (TxHmL) waiver program direct access to the interim registry. </w:t>
      </w:r>
      <w:r>
        <w:rPr>
          <w:u w:val="single"/>
        </w:rPr>
        <w:t xml:space="preserve"> </w:t>
      </w:r>
      <w:r>
        <w:rPr>
          <w:u w:val="single"/>
        </w:rPr>
        <w:t xml:space="preserve">The executive commissioner by rule shall require a provider to take necessary actions regarding an employee who is included in the interim registry.  The actions taken by a provider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based on the seriousness of the reportable conduct for which the employee is included in the interim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additional monitoring;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reassignment;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suspension.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immediately shall remove an employee from the interim registry after a final decision on the reportable conduct is made and all rights to appeal the decision have been exhausted.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contained in the interim registry is confidential and not subject to disclosure under Chapter 552, Government Code.  Confidential information contained in the interim registry may be disclosed to appropriate persons only in accordance with commission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provider is not civilly liable for failing to hire an employee who was, at the time the provider made the hiring decision, included in the interim registry.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48.404,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employee notified of the violation makes a timely request for a hearing on the finding, the commission shall record the reportable conduct in the interim registry under Section 253.0035, Health and Safety Code, in a manner that is consistent with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