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87R3611 DRS-D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597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exemption of certain property from municipal drainage service charges.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552.053, Local Government Code, is amended by adding Subsections (d-2) and (d-3)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exempt property from all or a portion of drainage charges under Section 552.047 if the property is used as the principal residence of an individual who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disabled as defined by Section 11.13(m), Tax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65 years of age or older;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veteran of the armed services of the United States;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member of the armed services of the United States on active deployment.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may impose additional eligibility requirements for an exemption authorized under Subsection (d-2).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