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auditable voting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  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  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  Notwithstanding Section 127.301(1), the secretary of state shall conduct a pilot program, beginning with the election taking place November 8, 2022,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at least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127.306.</w:t>
      </w:r>
      <w:r>
        <w:rPr>
          <w:u w:val="single"/>
        </w:rPr>
        <w:t xml:space="preserve"> </w:t>
      </w:r>
      <w:r>
        <w:rPr>
          <w:u w:val="single"/>
        </w:rPr>
        <w:t xml:space="preserve"> </w:t>
      </w:r>
      <w:r>
        <w:rPr>
          <w:u w:val="single"/>
        </w:rPr>
        <w:t xml:space="preserve">WAIVER NOT PERMITTED.  The secretary of state may not waive any requirements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  In this section, "auditable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creates, or displays a paper record that may be read by the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capable of being connected to the Internet or any other computer network or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electronic vote is the official record of the vote cast if a risk-limiting audit conducted under Section 127.302 produces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paper record is the official record of the vote cast: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recount under Title 13, including a recount of ballots cast on a system involving direct recording electronic voting machines;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election contest under Title 14;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risk-limiting audit conducted under Section 127.302 fails to produce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(b), (c), and (d) do not apply to an election held before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129.054, Election Code, is amended to read as follows:</w:t>
      </w:r>
    </w:p>
    <w:p w:rsidR="003F3435" w:rsidRDefault="0032493E">
      <w:pPr>
        <w:spacing w:line="480" w:lineRule="auto"/>
        <w:ind w:firstLine="720"/>
        <w:jc w:val="both"/>
      </w:pPr>
      <w:r>
        <w:t xml:space="preserve">Sec.</w:t>
      </w:r>
      <w:r xml:space="preserve">
        <w:t> </w:t>
      </w:r>
      <w:r>
        <w:t xml:space="preserve">129.054.</w:t>
      </w:r>
      <w:r xml:space="preserve">
        <w:t> </w:t>
      </w:r>
      <w:r xml:space="preserve">
        <w:t> </w:t>
      </w:r>
      <w:r>
        <w:t xml:space="preserve">NETWORK CONNECTIONS AND WIRELESS TECHNOLOGY.  (a)  A voting system may not be connected to any external communications network, including the Internet.  </w:t>
      </w:r>
      <w:r>
        <w:rPr>
          <w:u w:val="single"/>
        </w:rPr>
        <w:t xml:space="preserve">Beginning September 1, 2026,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  </w:t>
      </w:r>
      <w:r>
        <w:rPr>
          <w:u w:val="single"/>
        </w:rPr>
        <w:t xml:space="preserve">Beginning September 1, 2026, a voting system may not have the capability of permitting wireless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is required to implement a provision of this Act only if the legislature appropriates money specifically for that purpose. </w:t>
      </w:r>
      <w:r>
        <w:t xml:space="preserve"> </w:t>
      </w:r>
      <w:r>
        <w:t xml:space="preserve">If the legislature does not appropriate money specifically for that purpose, the secretary of state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