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87R5603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598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auditable voting systems.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127, Election Code, is amended by adding Subchapter I to read as follows:</w:t>
      </w:r>
    </w:p>
    <w:p w:rsidR="003F3435" w:rsidRDefault="0032493E">
      <w:pPr>
        <w:spacing w:line="480" w:lineRule="auto"/>
        <w:jc w:val="center"/>
      </w:pPr>
      <w:r>
        <w:rPr>
          <w:u w:val="single"/>
        </w:rPr>
        <w:t xml:space="preserve">SUBCHAPTER I.  RISK-LIMITING AUDIT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127.301.</w:t>
      </w:r>
      <w:r>
        <w:rPr>
          <w:u w:val="single"/>
        </w:rPr>
        <w:t xml:space="preserve"> </w:t>
      </w:r>
      <w:r>
        <w:rPr>
          <w:u w:val="single"/>
        </w:rPr>
        <w:t xml:space="preserve"> </w:t>
      </w:r>
      <w:r>
        <w:rPr>
          <w:u w:val="single"/>
        </w:rPr>
        <w:t xml:space="preserve">APPLICABILITY OF SUBCHAPTER.  This subchapter applies to an election:</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occurs after August 31, 2026;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contains a race or measure that is voted on statewide;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which an auditable voting system described by Section 129.003(a) is used.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127.302.</w:t>
      </w:r>
      <w:r>
        <w:rPr>
          <w:u w:val="single"/>
        </w:rPr>
        <w:t xml:space="preserve"> </w:t>
      </w:r>
      <w:r>
        <w:rPr>
          <w:u w:val="single"/>
        </w:rPr>
        <w:t xml:space="preserve"> </w:t>
      </w:r>
      <w:r>
        <w:rPr>
          <w:u w:val="single"/>
        </w:rPr>
        <w:t xml:space="preserve">RISK-LIMITING AUDIT.  (a)</w:t>
      </w:r>
      <w:r>
        <w:rPr>
          <w:u w:val="single"/>
        </w:rPr>
        <w:t xml:space="preserve"> </w:t>
      </w:r>
      <w:r>
        <w:rPr>
          <w:u w:val="single"/>
        </w:rPr>
        <w:t xml:space="preserve"> </w:t>
      </w:r>
      <w:r>
        <w:rPr>
          <w:u w:val="single"/>
        </w:rPr>
        <w:t xml:space="preserve">Not later than 24 hours after all ballots have been counted in an election, the general custodian of election records shall conduct a risk-limiting audit for a selected statewide race or measure.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select, in accordance with rules adopted by the secretary, the precincts to be counted and the office or proposition to be counted.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general custodian of election records shall complete the audit not later than 24 hours before the time for conducting the canvass of the election.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general custodian of election records shall post a notice of the date, hour, and place of the audit in the custodian's office and on the county's Internet website, if the county maintains a website.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watcher may be present for the audit if appointed by a candidate in the election.  A watcher must deliver a certificate of appointment to the general custodian of election records at the time the watcher reports for service.  The certificate must be in writing and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printed name and signature of the watcher;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election subject to the audit;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printed name and signature of the candidate making the appointment.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secretary of state may appoint personnel to assist with the audit, including applicable voting system technicians or representatives and persons who have assisted with the design and implementation of the audit.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127.303.</w:t>
      </w:r>
      <w:r>
        <w:rPr>
          <w:u w:val="single"/>
        </w:rPr>
        <w:t xml:space="preserve"> </w:t>
      </w:r>
      <w:r>
        <w:rPr>
          <w:u w:val="single"/>
        </w:rPr>
        <w:t xml:space="preserve"> </w:t>
      </w:r>
      <w:r>
        <w:rPr>
          <w:u w:val="single"/>
        </w:rPr>
        <w:t xml:space="preserve">RULES.  (a)</w:t>
      </w:r>
      <w:r>
        <w:rPr>
          <w:u w:val="single"/>
        </w:rPr>
        <w:t xml:space="preserve"> </w:t>
      </w:r>
      <w:r>
        <w:rPr>
          <w:u w:val="single"/>
        </w:rPr>
        <w:t xml:space="preserve"> </w:t>
      </w:r>
      <w:r>
        <w:rPr>
          <w:u w:val="single"/>
        </w:rPr>
        <w:t xml:space="preserve">The secretary of state shall adopt rules prescribing procedures necessary to implement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under this subchapter must include a rule, using widely accepted statistical methods, that provides for the number or percentage of paper records that must be counted in a risk-limiting audit under Section 127.302.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127.304.</w:t>
      </w:r>
      <w:r>
        <w:rPr>
          <w:u w:val="single"/>
        </w:rPr>
        <w:t xml:space="preserve"> </w:t>
      </w:r>
      <w:r>
        <w:rPr>
          <w:u w:val="single"/>
        </w:rPr>
        <w:t xml:space="preserve"> </w:t>
      </w:r>
      <w:r>
        <w:rPr>
          <w:u w:val="single"/>
        </w:rPr>
        <w:t xml:space="preserve">PUBLICATION OF RESULTS.  The results of a risk-limiting audit conducted under this subchapter must be published on the Internet website of the secretary of state not later than three days after the completion of the audit.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127.305.</w:t>
      </w:r>
      <w:r>
        <w:rPr>
          <w:u w:val="single"/>
        </w:rPr>
        <w:t xml:space="preserve"> </w:t>
      </w:r>
      <w:r>
        <w:rPr>
          <w:u w:val="single"/>
        </w:rPr>
        <w:t xml:space="preserve"> </w:t>
      </w:r>
      <w:r>
        <w:rPr>
          <w:u w:val="single"/>
        </w:rPr>
        <w:t xml:space="preserve">PILOT PROGRAM.  (a)</w:t>
      </w:r>
      <w:r>
        <w:rPr>
          <w:u w:val="single"/>
        </w:rPr>
        <w:t xml:space="preserve"> </w:t>
      </w:r>
      <w:r>
        <w:rPr>
          <w:u w:val="single"/>
        </w:rPr>
        <w:t xml:space="preserve"> </w:t>
      </w:r>
      <w:r>
        <w:rPr>
          <w:u w:val="single"/>
        </w:rPr>
        <w:t xml:space="preserve">Notwithstanding Section 127.301(1), the secretary of state shall conduct a pilot program, beginning with the election taking place November 8, 2022, of the risk-limiting audit program created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select at least five counties to participate in the pilot program. </w:t>
      </w:r>
      <w:r>
        <w:rPr>
          <w:u w:val="single"/>
        </w:rPr>
        <w:t xml:space="preserve"> </w:t>
      </w:r>
      <w:r>
        <w:rPr>
          <w:u w:val="single"/>
        </w:rPr>
        <w:t xml:space="preserve">At least one county participating in the pilot program must have a population of at least 500,000.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each election conducted under the pilot program, the secretary of state shall send a detailed report to each member of the legislature evaluating the success of the program and making a recommendation as to whether the legislature should act to delay the statewide implementation of the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adopt rules as necessary to implement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August 31, 2026.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129, Election Code, is amended by adding Section 129.003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129.003.</w:t>
      </w:r>
      <w:r>
        <w:rPr>
          <w:u w:val="single"/>
        </w:rPr>
        <w:t xml:space="preserve"> </w:t>
      </w:r>
      <w:r>
        <w:rPr>
          <w:u w:val="single"/>
        </w:rPr>
        <w:t xml:space="preserve"> </w:t>
      </w:r>
      <w:r>
        <w:rPr>
          <w:u w:val="single"/>
        </w:rPr>
        <w:t xml:space="preserve">PAPER AUDIT TRAIL REQUIRED.  (a)</w:t>
      </w:r>
      <w:r>
        <w:rPr>
          <w:u w:val="single"/>
        </w:rPr>
        <w:t xml:space="preserve"> </w:t>
      </w:r>
      <w:r>
        <w:rPr>
          <w:u w:val="single"/>
        </w:rPr>
        <w:t xml:space="preserve"> </w:t>
      </w:r>
      <w:r>
        <w:rPr>
          <w:u w:val="single"/>
        </w:rPr>
        <w:t xml:space="preserve">In this section, "auditable voting system" means a voting system that uses, creates, or displays a paper record that may be read by the voter.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by this section, a voting system that consists of direct recording electronic voting machines may not be used in an election unless the system is an auditable voting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electronic vote is the official record of the vote cast if a risk-limiting audit conducted under Section 127.302 produces strong evidence that the reported outcome of the election matches the results that a full counting of the paper records would reveal.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paper record is the official record of the vote cast: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recount under Title 13, including a recount of ballots cast on a system involving direct recording electronic voting machines;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 risk-limiting audit conducted under Section 127.302 fails to produce strong evidence that the reported outcome of the election matches the results that a full counting of the paper records would reveal.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authority that purchased a voting system other than an auditable voting system after September 1, 2014, and before September 1, 2021, may use available federal funding and, if federal funding is not available, available state funding to convert the purchased voting system into an auditable voting system in accordance with the following schedule: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voting system was converted into an auditable voting system not later than the election taking place November 8, 2022, the authority is eligible to have 100 percent of the cost of conversion reimbursed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authority is not eligible for a 100 percent reimbursement of cost under Subdivision (1) and the voting system was converted into an auditable voting system not later than the election taking place November 3, 2026, the authority is eligible to have 50 percent of the cost of conversion reimbursed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secretary of state may use any available funds to assist an authority with the purchase of an auditable voting system if the funds have been appropriated for that purpose.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Subsections (a), (b), (c), and (d) do not apply to an election held before September 1, 2026.</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paper record generated by an auditable voting system may be used only for the purposes described by this section and may not be retained by the voter.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Subsection (b), a voter voting under Section 64.009 may use a direct recording electronic voting machine regardless of whether the direct recording electronic voting machine is part of an auditable voting system.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