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2021; March</w:t>
      </w:r>
      <w:r xml:space="preserve">
        <w:t> </w:t>
      </w:r>
      <w:r>
        <w:t xml:space="preserve">11,</w:t>
      </w:r>
      <w:r xml:space="preserve">
        <w:t> </w:t>
      </w:r>
      <w:r>
        <w:t xml:space="preserve">2021, read first time and referred to Committee on Water, Agriculture &amp; Rural Affairs; March</w:t>
      </w:r>
      <w:r xml:space="preserve">
        <w:t> </w:t>
      </w:r>
      <w:r>
        <w:t xml:space="preserve">22,</w:t>
      </w:r>
      <w:r xml:space="preserve">
        <w:t> </w:t>
      </w:r>
      <w:r>
        <w:t xml:space="preserve">2021, reported favorably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and disposal of abandoned fishing devices and the seizure and disposition of unlawful fishing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Parks and Wildlife Code, is amended by adding Section 12.1104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12.1104.</w:t>
      </w:r>
      <w:r>
        <w:rPr>
          <w:u w:val="single"/>
        </w:rPr>
        <w:t xml:space="preserve"> </w:t>
      </w:r>
      <w:r>
        <w:rPr>
          <w:u w:val="single"/>
        </w:rPr>
        <w:t xml:space="preserve"> </w:t>
      </w:r>
      <w:r>
        <w:rPr>
          <w:u w:val="single"/>
        </w:rPr>
        <w:t xml:space="preserve">REMOVAL AND DISPOSAL OF ABANDONED FISHING DEVICE.  (a)  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abandoned fishing device is litter for purposes of Section 365.011, Health and Safety Code, and is subject to immediate removal and disposal.  Except as provided by Subsection (e), an abandoned fishing device must be disposed of in compliance with the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govern the removal and disposal of abandoned fishing devices as necessary to enhance: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enforcement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cleanliness of the beds and bottoms of the public water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boating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conservation and management of aquatic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12.1105(d),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w:t>
      </w:r>
      <w:r>
        <w:rPr>
          <w:u w:val="single"/>
        </w:rPr>
        <w:t xml:space="preserve">seine,</w:t>
      </w:r>
      <w:r>
        <w:t xml:space="preserve"> net</w:t>
      </w:r>
      <w:r>
        <w:rPr>
          <w:u w:val="single"/>
        </w:rPr>
        <w:t xml:space="preserve">, trawl, trap, or other device</w:t>
      </w:r>
      <w:r>
        <w:t xml:space="preserve"> as authorized by </w:t>
      </w:r>
      <w:r>
        <w:rPr>
          <w:u w:val="single"/>
        </w:rPr>
        <w:t xml:space="preserve">Subsection (b)</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66.102, Parks and Wildlife Code, is amended to read as follows:</w:t>
      </w:r>
    </w:p>
    <w:p w:rsidR="003F3435" w:rsidRDefault="0032493E">
      <w:pPr>
        <w:spacing w:line="480" w:lineRule="auto"/>
        <w:ind w:firstLine="720"/>
        <w:jc w:val="both"/>
      </w:pPr>
      <w:r>
        <w:t xml:space="preserve">Sec.</w:t>
      </w:r>
      <w:r xml:space="preserve">
        <w:t> </w:t>
      </w:r>
      <w:r>
        <w:t xml:space="preserve">66.102.</w:t>
      </w:r>
      <w:r xml:space="preserve">
        <w:t> </w:t>
      </w:r>
      <w:r xml:space="preserve">
        <w:t> </w:t>
      </w:r>
      <w:r>
        <w:t xml:space="preserve">PLACING PROHIBITED DEVICES IN PUBLIC WATER.  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rPr>
          <w:u w:val="single"/>
        </w:rPr>
        <w:t xml:space="preserve">12.1104 or</w:t>
      </w:r>
      <w:r>
        <w:t xml:space="preserve"> 12.1105</w:t>
      </w:r>
      <w:r>
        <w:rPr>
          <w:u w:val="single"/>
        </w:rPr>
        <w:t xml:space="preserve">, as applicable</w:t>
      </w:r>
      <w:r>
        <w:t xml:space="preserve"> [</w:t>
      </w:r>
      <w:r>
        <w:rPr>
          <w:strike/>
        </w:rPr>
        <w:t xml:space="preserve">of this code</w:t>
      </w:r>
      <w:r>
        <w:t xml:space="preserve">].  A game warden or other peace officer is immune from liability for the destruction of devices found in violation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12.1105(c),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