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87R22879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</w:p>
    <w:p w:rsidR="003F3435" w:rsidRDefault="0032493E">
      <w:pPr>
        <w:ind w:firstLine="720"/>
        <w:jc w:val="both"/>
      </w:pPr>
      <w:r>
        <w:t xml:space="preserve">(King of Uvalde)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600: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inventory of dams controlled by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12, Water Code, is amended by adding Section 12.053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INVENTORY OF DAMS OPERATED BY RIVER AUTHORITIES.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river authority described by Section 325.025(b),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river authority shall provide to the commission information regarding the operation and maintenance of dams under the control of that river authority. The commission by rule shall require a river authority to provide for each dam under its control at least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whose jurisdiction the dam operates;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required maintenance schedule for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costs of the operation and maintenance of the dam;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of finance for the operation and maintenance costs of the dam.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river authority shall submit the information required by Subsection (b) to the commission each year and in the event of a significant change in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federal and state confidentiality laws, the commission shall create and maintain an Internet website that contains the information collected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