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87R7261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inventory of dams controlled by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12, Water Code, is amended by adding Section 12.053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INVENTORY OF DAMS OPERATED BY RIVER AUTHORITIES.  (a) </w:t>
      </w:r>
      <w:r>
        <w:rPr>
          <w:u w:val="single"/>
        </w:rPr>
        <w:t xml:space="preserve"> </w:t>
      </w:r>
      <w:r>
        <w:rPr>
          <w:u w:val="single"/>
        </w:rPr>
        <w:t xml:space="preserve">Each river authority shall provide to the commission information regarding the operation and maintenance of dams under the control of that river authority. The commission by rule shall require a river authority to provide for each dam under its control at least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whose jurisdiction the dam operates;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required maintenance schedule for the dam;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costs of the operation and maintenance of the dam;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of finance for the operation and maintenance costs of the dam.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river authority shall submit the information required by Subsection (a) to the commission each year and in the event of a significant change in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create and maintain an Internet website that contains the information collected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