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87R2188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allocation of certain revenue from mixed beverage gross receipts and sales taxes.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C, Chapter 183, Tax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C. </w:t>
      </w:r>
      <w:r>
        <w:t xml:space="preserve"> </w:t>
      </w:r>
      <w:r>
        <w:rPr>
          <w:u w:val="single"/>
        </w:rPr>
        <w:t xml:space="preserve">DISPOSITION OF PROCEEDS</w:t>
      </w:r>
      <w:r>
        <w:t xml:space="preserve"> [</w:t>
      </w:r>
      <w:r>
        <w:rPr>
          <w:strike/>
        </w:rPr>
        <w:t xml:space="preserve">MIXED BEVERAGE TAX CLEARANCE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183, Tax Code, is amended by adding Section 183.053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183.053.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ALLOCATION OF CERTAIN REVENUE FOR CERTAIN SPECIALTY COURT PROGRAMS. </w:t>
      </w:r>
      <w:r>
        <w:rPr>
          <w:u w:val="single"/>
        </w:rPr>
        <w:t xml:space="preserve"> </w:t>
      </w:r>
      <w:r>
        <w:rPr>
          <w:u w:val="single"/>
        </w:rPr>
        <w:t xml:space="preserve">The comptroller shall deposit one percent of the taxes received under Subchapters B and B-1 to the credit of the specialty court account established under Section 133.121, Local Government Code. </w:t>
      </w:r>
      <w:r>
        <w:rPr>
          <w:u w:val="single"/>
        </w:rPr>
        <w:t xml:space="preserve"> </w:t>
      </w:r>
      <w:r>
        <w:rPr>
          <w:u w:val="single"/>
        </w:rPr>
        <w:t xml:space="preserve">Money deposited to the account under this section may be used only for the purposes described by Section 133.121,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