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2021S0007-1  11/12/20</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627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purpose, implementation, and funding of the County Park Beautification and Improvement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Local Government Code, is amended by adding Chapter 328 to read as follows:</w:t>
      </w:r>
    </w:p>
    <w:p w:rsidR="003F3435" w:rsidRDefault="0032493E">
      <w:pPr>
        <w:spacing w:line="480" w:lineRule="auto"/>
        <w:jc w:val="center"/>
      </w:pPr>
      <w:r>
        <w:rPr>
          <w:u w:val="single"/>
        </w:rPr>
        <w:t xml:space="preserve">CHAPTER 328.  COUNTY PARK BEAUTIFICATION AND IMPROVEMENT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PURPOSE; CREATION.  It is the intent of the legislature that each county dedicating land for use as county parks be encouraged to beautify and improve those parks through measures including but not limited to improvements in or additions to lighting, directional and educational signs, litter abatement strategies, and landscaping and landscape maintenance policies.  In furtherance of these goals, the County Park Beautification and Improvement Program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IMPLEMENTATION.  The commissioners court of a county may by majority vote elect to participate in the program.  On such election, the commissioners court shall designate one person in the division of the county government responsible for the care and maintenance of the county parks as the coordinator for the program.  The coordinator may solicit advice and assistance from state and county agencies and private organizations in developing and implementing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REPORT; ADOPTION.  The coordinator shall report to the commissioners court the coordinator's findings and shall recommend an implementation strategy to the commissioners court.  The commissioners court may reject or adopt the implementation strategy.  If the commissioners court rejects the strategy, it shall specify to the coordinator the reasons for such rejection, and the coordinator shall develop a new implementation strategy to present to the commissioners court within six months of the rejection.  On adoption of an implementation strategy, the commissioners court may fund the program as provided in Section 328.004.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FUNDING.  The commissioners court of a county electing to participate in the program may solicit and accept bequests, donations, grants, and other money, goods, and services from federal, state, and private sources to finance and further the goals of the program but may not levy any tax or receive any legislative appropriation to fund such participation.  The state is not liable for debts or other obligations incurred by a county in implementing or planning to implement the program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