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627</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9,</w:t>
      </w:r>
      <w:r xml:space="preserve">
        <w:t> </w:t>
      </w:r>
      <w:r>
        <w:t xml:space="preserve">2021; February</w:t>
      </w:r>
      <w:r xml:space="preserve">
        <w:t> </w:t>
      </w:r>
      <w:r>
        <w:t xml:space="preserve">9,</w:t>
      </w:r>
      <w:r xml:space="preserve">
        <w:t> </w:t>
      </w:r>
      <w:r>
        <w:t xml:space="preserve">2021, read first time and referred to Committee on Administration; February</w:t>
      </w:r>
      <w:r xml:space="preserve">
        <w:t> </w:t>
      </w:r>
      <w:r>
        <w:t xml:space="preserve">10,</w:t>
      </w:r>
      <w:r xml:space="preserve">
        <w:t> </w:t>
      </w:r>
      <w:r>
        <w:t xml:space="preserve">2021, reported favorably by the following vote:</w:t>
      </w:r>
      <w:r>
        <w:t xml:space="preserve"> </w:t>
      </w:r>
      <w:r>
        <w:t xml:space="preserve"> </w:t>
      </w:r>
      <w:r>
        <w:t xml:space="preserve">Yeas</w:t>
      </w:r>
      <w:r xml:space="preserve">
        <w:t> </w:t>
      </w:r>
      <w:r>
        <w:t xml:space="preserve">7, Nays 0; February</w:t>
      </w:r>
      <w:r xml:space="preserve">
        <w:t> </w:t>
      </w:r>
      <w:r>
        <w:t xml:space="preserve">10,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purpose, implementation, and funding of the County Park Beautification and Improvement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10, Local Government Code, is amended by adding Chapter 328 to read as follows:</w:t>
      </w:r>
    </w:p>
    <w:p w:rsidR="003F3435" w:rsidRDefault="0032493E">
      <w:pPr>
        <w:spacing w:line="480" w:lineRule="auto"/>
        <w:jc w:val="center"/>
      </w:pPr>
      <w:r>
        <w:rPr>
          <w:u w:val="single"/>
        </w:rPr>
        <w:t xml:space="preserve">CHAPTER 328.  COUNTY PARK BEAUTIFICATION AND IMPROVEMENT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328.001.</w:t>
      </w:r>
      <w:r>
        <w:rPr>
          <w:u w:val="single"/>
        </w:rPr>
        <w:t xml:space="preserve"> </w:t>
      </w:r>
      <w:r>
        <w:rPr>
          <w:u w:val="single"/>
        </w:rPr>
        <w:t xml:space="preserve"> </w:t>
      </w:r>
      <w:r>
        <w:rPr>
          <w:u w:val="single"/>
        </w:rPr>
        <w:t xml:space="preserve">PURPOSE; CREATION.  It is the intent of the legislature that each county dedicating land for use as county parks be encouraged to beautify and improve those parks through measures including but not limited to improvements in or additions to lighting, directional and educational signs, litter abatement strategies, and landscaping and landscape maintenance policies.  In furtherance of these goals, the County Park Beautification and Improvement Program is established.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328.002.</w:t>
      </w:r>
      <w:r>
        <w:rPr>
          <w:u w:val="single"/>
        </w:rPr>
        <w:t xml:space="preserve"> </w:t>
      </w:r>
      <w:r>
        <w:rPr>
          <w:u w:val="single"/>
        </w:rPr>
        <w:t xml:space="preserve"> </w:t>
      </w:r>
      <w:r>
        <w:rPr>
          <w:u w:val="single"/>
        </w:rPr>
        <w:t xml:space="preserve">IMPLEMENTATION.  The commissioners court of a county may by majority vote elect to participate in the program.  On such election, the commissioners court shall designate one person in the division of the county government responsible for the care and maintenance of the county parks as the coordinator for the program.  The coordinator may solicit advice and assistance from state and county agencies and private organizations in developing and implementing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328.003.</w:t>
      </w:r>
      <w:r>
        <w:rPr>
          <w:u w:val="single"/>
        </w:rPr>
        <w:t xml:space="preserve"> </w:t>
      </w:r>
      <w:r>
        <w:rPr>
          <w:u w:val="single"/>
        </w:rPr>
        <w:t xml:space="preserve"> </w:t>
      </w:r>
      <w:r>
        <w:rPr>
          <w:u w:val="single"/>
        </w:rPr>
        <w:t xml:space="preserve">REPORT; ADOPTION.  The coordinator shall report to the commissioners court the coordinator's findings and shall recommend an implementation strategy to the commissioners court.  The commissioners court may reject or adopt the implementation strategy.  If the commissioners court rejects the strategy, it shall specify to the coordinator the reasons for such rejection, and the coordinator shall develop a new implementation strategy to present to the commissioners court within six months of the rejection.  On adoption of an implementation strategy, the commissioners court may fund the program as provided in Section 328.004.</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328.004.</w:t>
      </w:r>
      <w:r>
        <w:rPr>
          <w:u w:val="single"/>
        </w:rPr>
        <w:t xml:space="preserve"> </w:t>
      </w:r>
      <w:r>
        <w:rPr>
          <w:u w:val="single"/>
        </w:rPr>
        <w:t xml:space="preserve"> </w:t>
      </w:r>
      <w:r>
        <w:rPr>
          <w:u w:val="single"/>
        </w:rPr>
        <w:t xml:space="preserve">FUNDING.  The commissioners court of a county electing to participate in the program may solicit and accept bequests, donations, grants, and other money, goods, and services from federal, state, and private sources to finance and further the goals of the program but may not levy any tax or receive any legislative appropriation to fund such participation.  The state is not liable for debts or other obligations incurred by a county in implementing or planning to implement the program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