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 et al.</w:t>
      </w:r>
      <w:r xml:space="preserve">
        <w:tab wTab="150" tlc="none" cTlc="0"/>
      </w:r>
      <w:r>
        <w:t xml:space="preserve">S.B.</w:t>
      </w:r>
      <w:r xml:space="preserve">
        <w:t> </w:t>
      </w:r>
      <w:r>
        <w:t xml:space="preserve">No.</w:t>
      </w:r>
      <w:r xml:space="preserve">
        <w:t> </w:t>
      </w:r>
      <w:r>
        <w:t xml:space="preserve">632</w:t>
      </w:r>
    </w:p>
    <w:p w:rsidR="003F3435" w:rsidRDefault="0032493E">
      <w:pPr>
        <w:ind w:firstLine="720"/>
        <w:jc w:val="both"/>
      </w:pPr>
      <w:r>
        <w:t xml:space="preserve">(Buckley, Ashby, Leman, Anderson)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 of broadband infrastructure and connectivity by the Lower Colorado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8503, Special District Local Laws Code, is amended by adding Section 8503.032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8503.032.</w:t>
      </w:r>
      <w:r>
        <w:rPr>
          <w:u w:val="single"/>
        </w:rPr>
        <w:t xml:space="preserve"> </w:t>
      </w:r>
      <w:r>
        <w:rPr>
          <w:u w:val="single"/>
        </w:rPr>
        <w:t xml:space="preserve"> </w:t>
      </w:r>
      <w:r>
        <w:rPr>
          <w:u w:val="single"/>
        </w:rPr>
        <w:t xml:space="preserve">BROADBAND SERVICE INFRASTRUCTURE AND CONNECTIVITY.  (a) </w:t>
      </w:r>
      <w:r>
        <w:rPr>
          <w:u w:val="single"/>
        </w:rPr>
        <w:t xml:space="preserve"> </w:t>
      </w:r>
      <w:r>
        <w:rPr>
          <w:u w:val="single"/>
        </w:rPr>
        <w:t xml:space="preserve">In this section, "broadband service" means advanced telecommunications capability and Internet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provide fiber capacity or facilities for the purpose of facilitating broadband service connectivity.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may not provide broadband service to a retail customer.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Subtitle C, Title 2, Utilities Code, does not apply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may provide fiber capacity or facilities only on reasonable and nondiscriminatory terms and conditions.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authority may not agree to lease fiber capacity or facilities to a municipality for the purpose of facilitating broadband service connectivity, other than for communications regarding utility operations, unless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posts on the authority's Internet website information concerning the proposal to lease the capacity or facilities to the municipality not less than 90 days before entering into the lease agreement with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90-day period beginning on the date that the authority posts information under Subdivision (1), makes the capacity or facilities available for lease to any commercial broadband provider that provides broadband services in the municipality, on the authority's standard terms and conditions.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