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87R8353 BRG-D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Buckingham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provision of broadband infrastructure and connectivity by the Lower Colorado River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8503, Special District Local Laws Code, is amended by adding Section 8503.032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8503.032.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BROADBAND SERVICE INFRASTRUCTURE AND CONNECTIVITY.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"broadband service" means advanced telecommunications capability and Internet access.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 infrastructure used to provide broadband service;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facilitate broadband service connectivity.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may not provide broadband service to a retail customer.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Subtitle C, Title 2, Utilities Code, does not apply to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