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w:t>
      </w:r>
      <w:r xml:space="preserve">
        <w:tab wTab="150" tlc="none" cTlc="0"/>
      </w:r>
      <w:r>
        <w:t xml:space="preserve">S.B.</w:t>
      </w:r>
      <w:r xml:space="preserve">
        <w:t> </w:t>
      </w:r>
      <w:r>
        <w:t xml:space="preserve">No.</w:t>
      </w:r>
      <w:r xml:space="preserve">
        <w:t> </w:t>
      </w:r>
      <w:r>
        <w:t xml:space="preserve">632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9,</w:t>
      </w:r>
      <w:r xml:space="preserve">
        <w:t> </w:t>
      </w:r>
      <w:r>
        <w:t xml:space="preserve">2021; March</w:t>
      </w:r>
      <w:r xml:space="preserve">
        <w:t> </w:t>
      </w:r>
      <w:r>
        <w:t xml:space="preserve">11,</w:t>
      </w:r>
      <w:r xml:space="preserve">
        <w:t> </w:t>
      </w:r>
      <w:r>
        <w:t xml:space="preserve">2021, read first time and referred to Committee on Transportation; March</w:t>
      </w:r>
      <w:r xml:space="preserve">
        <w:t> </w:t>
      </w:r>
      <w:r>
        <w:t xml:space="preserve">29,</w:t>
      </w:r>
      <w:r xml:space="preserve">
        <w:t> </w:t>
      </w:r>
      <w:r>
        <w:t xml:space="preserve">2021, reported adversely, with favorable Committee Substitute by the following vote:</w:t>
      </w:r>
      <w:r>
        <w:t xml:space="preserve"> </w:t>
      </w:r>
      <w:r>
        <w:t xml:space="preserve"> </w:t>
      </w:r>
      <w:r>
        <w:t xml:space="preserve">Yeas 9, Nays 0; March</w:t>
      </w:r>
      <w:r xml:space="preserve">
        <w:t> </w:t>
      </w:r>
      <w:r>
        <w:t xml:space="preserve">29,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632</w:t>
      </w:r>
      <w:r xml:space="preserve">
        <w:tab wTab="150" tlc="none" cTlc="0"/>
      </w:r>
      <w:r>
        <w:t xml:space="preserve">By:</w:t>
      </w:r>
      <w:r xml:space="preserve">
        <w:t> </w:t>
      </w:r>
      <w:r xml:space="preserve">
        <w:t> </w:t>
      </w:r>
      <w:r>
        <w:t xml:space="preserve">Seliger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provision of broadband infrastructure and connectivity by the Lower Colorado River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8503, Special District Local Laws Code, is amended by adding Section 8503.032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8503.032.</w:t>
      </w:r>
      <w:r>
        <w:rPr>
          <w:u w:val="single"/>
        </w:rPr>
        <w:t xml:space="preserve"> </w:t>
      </w:r>
      <w:r>
        <w:rPr>
          <w:u w:val="single"/>
        </w:rPr>
        <w:t xml:space="preserve"> </w:t>
      </w:r>
      <w:r>
        <w:rPr>
          <w:u w:val="single"/>
        </w:rPr>
        <w:t xml:space="preserve">BROADBAND SERVICE INFRASTRUCTURE AND CONNECTIVITY.  (a) </w:t>
      </w:r>
      <w:r>
        <w:rPr>
          <w:u w:val="single"/>
        </w:rPr>
        <w:t xml:space="preserve"> </w:t>
      </w:r>
      <w:r>
        <w:rPr>
          <w:u w:val="single"/>
        </w:rPr>
        <w:t xml:space="preserve">In this section, "broadband service" means advanced telecommunications capability and Internet access.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may provide fiber capacity or facilities for the purpose of facilitating broadband service connectivity.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may not provide broadband service to a retail customer.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Subtitle C, Title 2, Utilities Code, does not apply to the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authority may provide fiber capacity or facilities only on reasonable and nondiscriminatory terms and conditions.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authority may not agree to lease fiber capacity or facilities to a municipality for the purpose of facilitating broadband service connectivity, other than for communications regarding utility operations, unless the authority: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posts on the authority's Internet website information concerning the proposal to lease the capacity or facilities to the municipality not less than 90 days before entering into the lease agreement with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90-day period beginning on the date that the authority posts information under Subdivision (1), makes the capacity or facilities available for lease to any commercial broadband provider that provides broadband services in the municipality, on the authority's standard terms and conditions.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