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9,</w:t>
      </w:r>
      <w:r xml:space="preserve">
        <w:t> </w:t>
      </w:r>
      <w:r>
        <w:t xml:space="preserve">2021; March</w:t>
      </w:r>
      <w:r xml:space="preserve">
        <w:t> </w:t>
      </w:r>
      <w:r>
        <w:t xml:space="preserve">11,</w:t>
      </w:r>
      <w:r xml:space="preserve">
        <w:t> </w:t>
      </w:r>
      <w:r>
        <w:t xml:space="preserve">2021, read first time and referred to Committee on Transportation; March</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9, Nays 0; March</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632</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provision of broadband infrastructure and connectivity by the Lower Colorado River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8503, Special District Local Laws Code, is amended by adding Section 8503.032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8503.032.</w:t>
      </w:r>
      <w:r>
        <w:rPr>
          <w:u w:val="single"/>
        </w:rPr>
        <w:t xml:space="preserve"> </w:t>
      </w:r>
      <w:r>
        <w:rPr>
          <w:u w:val="single"/>
        </w:rPr>
        <w:t xml:space="preserve"> </w:t>
      </w:r>
      <w:r>
        <w:rPr>
          <w:u w:val="single"/>
        </w:rPr>
        <w:t xml:space="preserve">BROADBAND SERVICE INFRASTRUCTURE AND CONNECTIVITY.  (a) </w:t>
      </w:r>
      <w:r>
        <w:rPr>
          <w:u w:val="single"/>
        </w:rPr>
        <w:t xml:space="preserve"> </w:t>
      </w:r>
      <w:r>
        <w:rPr>
          <w:u w:val="single"/>
        </w:rPr>
        <w:t xml:space="preserve">In this section, "broadband service" means advanced telecommunications capability and Internet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provide fiber capacity or facilities for the purpose of facilitating broadband service connectivity.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not provide broadband service to a retail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Subtitle C, Title 2, Utilities Code, does not apply to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provide fiber capacity or facilities only on reasonable and nondiscriminatory terms and conditions.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not agree to lease fiber capacity or facilities to a municipality for the purpose of facilitating broadband service connectivity, other than for communications regarding utility operations, unless the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posts on the authority's Internet website information concerning the proposal to lease the capacity or facilities to the municipality not less than 90 days before entering into the lease agreement with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90-day period beginning on the date that the authority posts information under Subdivision (1), makes the capacity or facilities available for lease to any commercial broadband provider that provides broadband services in the municipality, on the authority's standard terms and conditions.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