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2493E">
      <w:pPr>
        <w:ind w:firstLine="720"/>
        <w:jc w:val="both"/>
      </w:pPr>
      <w:r>
        <w:t xml:space="preserve">(Anderson)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the identity of certain landowners who participate in a State Soil and Water Conservation Board program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201, Agriculture Code, is amended by adding Section 201.007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PARTICIPANTS IN INVASIVE SPECIES ERADICATION PROGRAMS.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information written, produced, collected, assembled, or maintained by the state board that would identify a landowner who participates in a state board program to manage or eradicate an invasive species is confidential and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identity of a person who receives a direct payment of state money under a contract with the state board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