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87R4615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Seliger</w:t>
      </w:r>
      <w:r xml:space="preserve">
        <w:tab wTab="150" tlc="none" cTlc="0"/>
      </w:r>
      <w:r>
        <w:t xml:space="preserve">S.B.</w:t>
      </w:r>
      <w:r xml:space="preserve">
        <w:t> </w:t>
      </w:r>
      <w:r>
        <w:t xml:space="preserve">No.</w:t>
      </w:r>
      <w:r xml:space="preserve">
        <w:t> </w:t>
      </w:r>
      <w:r>
        <w:t xml:space="preserve">636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and the transparency of epidemiological reports and certain immunization exemption information and reports.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81.047, Health and Safety Code, is amended to read as follows:</w:t>
      </w:r>
    </w:p>
    <w:p w:rsidR="003F3435" w:rsidRDefault="0032493E">
      <w:pPr>
        <w:spacing w:line="480" w:lineRule="auto"/>
        <w:ind w:firstLine="720"/>
        <w:jc w:val="both"/>
      </w:pPr>
      <w:r>
        <w:t xml:space="preserve">Sec.</w:t>
      </w:r>
      <w:r xml:space="preserve">
        <w:t> </w:t>
      </w:r>
      <w:r>
        <w:t xml:space="preserve">81.047.</w:t>
      </w:r>
      <w:r xml:space="preserve">
        <w:t> </w:t>
      </w:r>
      <w:r xml:space="preserve">
        <w:t> </w:t>
      </w:r>
      <w:r>
        <w:t xml:space="preserve">EPIDEMIOLOGICAL REPORTS.  </w:t>
      </w:r>
      <w:r>
        <w:rPr>
          <w:u w:val="single"/>
        </w:rPr>
        <w:t xml:space="preserve">(a)</w:t>
      </w:r>
      <w:r>
        <w:t xml:space="preserve"> Subject to the confidentiality requirements of this chapter, the department shall require epidemiological reports of disease outbreaks and of individual cases of disease suspected or known to be of importance to the public health</w:t>
      </w:r>
      <w:r>
        <w:rPr>
          <w:u w:val="single"/>
        </w:rPr>
        <w:t xml:space="preserve">, including vaccine preventable diseases</w:t>
      </w:r>
      <w:r>
        <w:t xml:space="preserve">.  The department shall evaluate the reports to determine the trends involved and the nature and magnitude of the hazards.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prepare and submit to the legislature and the governor not later than December 1 of each even-numbered year a biennial report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report of outbreaks of vaccine preventable diseases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de-identified immunization exemption information, including the number of persons claiming an exemption from the immunization requirements of Section 161.004 of this code, Sections 38.001, 51.9192, and 51.933, Education Code, and Section 42.043, Human Resources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38.002, Education Code, is amended by amending Subsections (a) and (c) and adding Subsections (d), (e), (f), and (g) to read as follows:</w:t>
      </w:r>
    </w:p>
    <w:p w:rsidR="003F3435" w:rsidRDefault="0032493E">
      <w:pPr>
        <w:spacing w:line="480" w:lineRule="auto"/>
        <w:ind w:firstLine="720"/>
        <w:jc w:val="both"/>
      </w:pPr>
      <w:r>
        <w:t xml:space="preserve">(a)</w:t>
      </w:r>
      <w:r xml:space="preserve">
        <w:t> </w:t>
      </w:r>
      <w:r xml:space="preserve">
        <w:t> </w:t>
      </w:r>
      <w:r>
        <w:t xml:space="preserve">Each public school shall keep an individual immunization record during the period of attendance for each student admitted.  The records shall be open for inspection at all reasonable times by the Texas Education Agency or by representatives of local health departments or the [</w:t>
      </w:r>
      <w:r>
        <w:rPr>
          <w:strike/>
        </w:rPr>
        <w:t xml:space="preserve">Texas</w:t>
      </w:r>
      <w:r>
        <w:t xml:space="preserve">] Department of </w:t>
      </w:r>
      <w:r>
        <w:rPr>
          <w:u w:val="single"/>
        </w:rPr>
        <w:t xml:space="preserve">State</w:t>
      </w:r>
      <w:r>
        <w:t xml:space="preserve"> Health </w:t>
      </w:r>
      <w:r>
        <w:rPr>
          <w:u w:val="single"/>
        </w:rPr>
        <w:t xml:space="preserve">Services</w:t>
      </w:r>
      <w:r>
        <w:t xml:space="preserve">.</w:t>
      </w:r>
    </w:p>
    <w:p w:rsidR="003F3435" w:rsidRDefault="0032493E">
      <w:pPr>
        <w:spacing w:line="480" w:lineRule="auto"/>
        <w:ind w:firstLine="720"/>
        <w:jc w:val="both"/>
      </w:pPr>
      <w:r>
        <w:t xml:space="preserve">(c)</w:t>
      </w:r>
      <w:r xml:space="preserve">
        <w:t> </w:t>
      </w:r>
      <w:r xml:space="preserve">
        <w:t> </w:t>
      </w:r>
      <w:r>
        <w:t xml:space="preserve">The Texas Education Agency and the [</w:t>
      </w:r>
      <w:r>
        <w:rPr>
          <w:strike/>
        </w:rPr>
        <w:t xml:space="preserve">Texas</w:t>
      </w:r>
      <w:r>
        <w:t xml:space="preserve">] Department of </w:t>
      </w:r>
      <w:r>
        <w:rPr>
          <w:u w:val="single"/>
        </w:rPr>
        <w:t xml:space="preserve">State</w:t>
      </w:r>
      <w:r>
        <w:t xml:space="preserve"> Health </w:t>
      </w:r>
      <w:r>
        <w:rPr>
          <w:u w:val="single"/>
        </w:rPr>
        <w:t xml:space="preserve">Services</w:t>
      </w:r>
      <w:r>
        <w:t xml:space="preserve"> shall develop the form for a required annual report of the immunization status of students </w:t>
      </w:r>
      <w:r>
        <w:rPr>
          <w:u w:val="single"/>
        </w:rPr>
        <w:t xml:space="preserve">that includes de-identified immunization exemption information</w:t>
      </w:r>
      <w:r>
        <w:t xml:space="preserve">.  The report shall be submitted by all schools at the time and in the manner indicated in the instructions printed on the 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school district shall provide to the Department of State Health Services the information required by Subsection (c) for the district and for each school campus in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of State Health Services shall make available to the public in electronic form, on the department's Internet website, the required annual report submitted under Subsection (c) on the immunization status of students for each school district and each school campus.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request of a student's parent or legal guardian, a school district or school campus shall provide to the parent or guardian a copy of the following information for the campus at which the student is enrolled: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immunization rate disaggregated by type of vaccine;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information submitted under Subsection (c),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de-identified immunization exemption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students provisionally enrolled pending documentation of immunization;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number of students claiming an exemption for reasons of conscience, including a religious belief;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number of students claiming an exemption for a medical reason;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number of students whose vaccinations are not current.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and the executive commissioner of the Health and Human Services Commission shall adopt rules as necessary to ensure that a report of the immunization status of students made available under Subsections (e) and (f) complies with federal law regarding confidentiality of student medical or educational information, including the Health Insurance Portability and Accountability Act of 1996 (42 U.S.C. Section 1320d et seq.) and the Family Educational Rights and Privacy Act of 1974 (20 U.S.C. Section 1232g).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Texas Education Agency shall update the form required by Section 38.002(c), Education Code, as amended by this Act, to comply with that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