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West, 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for certain children at risk of relinquishment.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262.351, Family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t xml:space="preserve"> "Department" means the Department of Family and Protective Services.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 "Relinquishment avoidance program" means the Health and Human Services Commission's program that provides mental health services to a child with a severe emotional disturbance without the child entering the managing conservatorship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262, Family Code, is amended by adding Section 262.353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262.353.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 FOR RELINQUISHING CHILD TO OBTAIN SERVICES.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require the department to conduct a child abuse or neglect investigation before allowing a child to participate in the relinquishment avoidance program unless there is an allegation of abuse or neglect of the child.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or behavioral health authority may refer a child directly to the relinquishment avoidance program without first contacting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jointly adopt comprehensive guidance for providers and families that describes: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how to access services under the relinquishment avoidance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and family's rights when the child's parent or legal guardian: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relinquishes the child in order to obtain mental health services for the child;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accesses services under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information described by Subdivision (1) on the agency's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 the information described by Subdivision (1) available to caseworkers and families with a child who has a severe emotional disturbance.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 jointly adopt clear and concise protocols for families at risk of relinquishing a child for the sole purpose of accessing mental health services for the child. </w:t>
      </w:r>
      <w:r>
        <w:rPr>
          <w:u w:val="single"/>
        </w:rPr>
        <w:t xml:space="preserve"> </w:t>
      </w:r>
      <w:r>
        <w:rPr>
          <w:u w:val="single"/>
        </w:rPr>
        <w:t xml:space="preserve">The protocols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determining eligibility for the relinquishment avoidance program, including emergency eligibility procedures for children who are at immediate risk of relinquishment;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applying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who will manage the case of a family eligible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funding and resources for the relinquishment avoidance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role of each party involved in the relinquishment avoidance program, including the department, the commission, contracted residential treatment centers, and local mental and behavioral health authorities.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local mental and behavioral health authorities shall follow the protocols adopted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