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87R6695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643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imposition of additional fees for filing civil cases in Nueces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51, Government Code, is amended by adding Section 51.712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51.712.</w:t>
      </w:r>
      <w:r>
        <w:rPr>
          <w:u w:val="single"/>
        </w:rPr>
        <w:t xml:space="preserve"> </w:t>
      </w:r>
      <w:r>
        <w:rPr>
          <w:u w:val="single"/>
        </w:rPr>
        <w:t xml:space="preserve"> </w:t>
      </w:r>
      <w:r>
        <w:rPr>
          <w:u w:val="single"/>
        </w:rPr>
        <w:t xml:space="preserve">ADDITIONAL FILING FEE FOR CIVIL CASES IN NUECES COUNTY.  (a)  This section applies only to district courts and county courts at law in Nueces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and in addition to all other fees authorized or required by other law, the clerk of a court shall collect a filing fee of not more than $20 in each civil case filed in the court to be used: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construction, renovation, or improvement of the facilities that house the Nueces County civil courts;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pay the principal of, interest on, and costs of issuance of bonds, including refunding bonds, issued for the construction, renovation, or improvement of the facilities that house the Nueces County civil courts.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Court fees due under this section shall be collected in the same manner as other fees, fines, or costs are collected in the case.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clerk shall send the fees collected under this section to the county treasurer of Nueces County or to any other official who discharges the duties commonly assigned to the county treasurer at least as frequently as monthly.  The treasurer or other official shall deposit the fees in a special account in the county treasury dedicated to the construction, renovation, or improvement of the facilities that house the Nueces County civil courts.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applies only to fees for a 12-month period beginning October 1, if the Commissioners Court of Nueces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adopts an order authorizing a fee of not more than $20;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adopts an order requiring the county to spend one dollar for the construction, renovation, or improvement of the facilities that house the Nueces County civil courts for each dollar spent from the special account dedicated to that purpose;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files the orders with the county treasurer or with any other official who discharges the duties commonly assigned to the county treasurer not later than September 1 immediately preceding the first 12-month period during which the fees are to be collected.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adopted under Subsection (e) continues from year to year until October 1, 2036, allowing Nueces County to collect fees under the terms of this section until the order is rescinded.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Commissioners Court of Nueces County may rescind an order adopted under Subsection (e) by adopting an order rescinding the order and submitting the rescission order to the county treasurer or to any other official who discharges the duties commonly assigned to the county treasurer not later than September 1 preceding the beginning of the first day of the county fiscal year. </w:t>
      </w:r>
      <w:r>
        <w:rPr>
          <w:u w:val="single"/>
        </w:rPr>
        <w:t xml:space="preserve"> </w:t>
      </w:r>
      <w:r>
        <w:rPr>
          <w:u w:val="single"/>
        </w:rPr>
        <w:t xml:space="preserve">The commissioners court may adopt an additional authorization order in the manner provided by Subsection (e) after rescinding a previous order under that subsection.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fee established under a particular order is abolished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an order adopted under Subsection (e) is rescinded as provided by Subsection (g);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October 1, 2036.</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Nueces County may make the required expenditure described by Subsection (e)(2) at any time, regardless of when the expenditure from the special account occurs.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expires September 1, 2037.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Notwithstanding Section 51.607(c), Government Code, the clerk of a court may begin collecting the fee authorized by Section 51.712(b), Government Code, as added by this Act, October 1, 2021, if:</w:t>
      </w:r>
    </w:p>
    <w:p w:rsidR="003F3435" w:rsidRDefault="0032493E">
      <w:pPr>
        <w:spacing w:line="480" w:lineRule="auto"/>
        <w:ind w:firstLine="1440"/>
        <w:jc w:val="both"/>
      </w:pPr>
      <w:r>
        <w:t xml:space="preserve">(1)</w:t>
      </w:r>
      <w:r xml:space="preserve">
        <w:t> </w:t>
      </w:r>
      <w:r xml:space="preserve">
        <w:t> </w:t>
      </w:r>
      <w:r>
        <w:t xml:space="preserve">the requirements of Section 51.712, Government Code, as added by this Act, are satisfied; and</w:t>
      </w:r>
    </w:p>
    <w:p w:rsidR="003F3435" w:rsidRDefault="0032493E">
      <w:pPr>
        <w:spacing w:line="480" w:lineRule="auto"/>
        <w:ind w:firstLine="1440"/>
        <w:jc w:val="both"/>
      </w:pPr>
      <w:r>
        <w:t xml:space="preserve">(2)</w:t>
      </w:r>
      <w:r xml:space="preserve">
        <w:t> </w:t>
      </w:r>
      <w:r xml:space="preserve">
        <w:t> </w:t>
      </w:r>
      <w:r>
        <w:t xml:space="preserve">this Act is passed by a record vote of two-thirds of all the members elected to each house of the legislature on final consideration in each house, as required by Section 46(d), Article III, Texas Constitution.</w:t>
      </w:r>
    </w:p>
    <w:p w:rsidR="003F3435" w:rsidRDefault="0032493E">
      <w:pPr>
        <w:spacing w:line="480" w:lineRule="auto"/>
        <w:ind w:firstLine="720"/>
        <w:jc w:val="both"/>
      </w:pPr>
      <w:r>
        <w:t xml:space="preserve">(b)</w:t>
      </w:r>
      <w:r xml:space="preserve">
        <w:t> </w:t>
      </w:r>
      <w:r xml:space="preserve">
        <w:t> </w:t>
      </w:r>
      <w:r>
        <w:t xml:space="preserve">If this Act does not receive the vote specified by Subsection (a)(2) of this section, the clerk of a court may not begin collecting the fee authorized by Section 51.712(b), Government Code, as added by this Act, until October 1 of the first year after 2021 in which the requirements of Section 51.712, Government Code, as added by this Act, are satisfied.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