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personal property from garnishment, attachment, execution, or other seizure by creditors.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42.001, Property Code, is amended by amending Subsection (b)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personal property is exempt from seizure and is not included in the aggregate limitations prescribed by Subsection (a):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current wages for personal services, except for the enforcement of court-ordered child support payments;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professionally prescribed health aids of a debtor or a dependent of a debtor;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alimony, support, or separate maintenance received or to be received by the debtor for the support of the debtor or a dependent of the debtor;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religious bible or other book containing sacred writings of a religion that is seized by a creditor other than a lessor of real property who is exercising the lessor's contractual or statutory right to seize personal property after a tenant breaches a lease agreement for or abandons the real property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total amount on deposit in one or more accounts equal to the monthly equivalent of 250% of the federal poverty guidelines for a family of four, except for the enforcement of court-ordered alimony, child support, or spousal maintenance payments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judgment debtor is not required to assert an exemption from seizure before accessing the amount described by Subsection (b)(5).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22, Government Code, is amended by adding Section 22.0042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22.0042.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REGARDING EXEMPTIONS FROM SEIZURE OF PROPERTY; FORM.  (a)  The supreme court shall adopt rules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simple and expedited procedure for a judgment debtor to assert an exemption to the seizure of personal property by a judgment creditor or a turnover receiver;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 court to stay a proceeding, for a reasonable period, to allow for the assertion of an exemption under Subdivision 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judgment debtor timely asserts an exemption under Subdivision (1), require a court to promptly set a hearing and stay proceedings until a hearing is held.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this section shall require the provision of a notice in plain language to a judgment debtor regarding the right to assert one or more exemptions under Subsection (a)(1).  The notice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provided to the judgment debtor not later than the third day after the date that an account owned by the judgment debtor is seized by the judgment creditor;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in English with an integrated Spanish translation that can be readily understood by the public and the court;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form promulgated under Subsection (c);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all exemptions under state and federal law to the seizure of personal property;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information for accessing free or low-cost legal assistance.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this section shall include the promulgation of a form in plain language for asserting an exemption under Subsection (a)(1).  A form promulgated under this subsection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in English with an integrated Spanish translation that can be readily understood by the public and the court;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instructions for the use of the form.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shall accept a form promulgated under Subsection (c) unless the form has been completed in a manner that causes a substantive defect that cannot be cured.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31.002, Civil Practices and Remedies Code is amended by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rPr>
          <w:u w:val="single"/>
        </w:rPr>
        <w:t xml:space="preserve">For collection of judgments on consumer debt, as defined by Texas Finance Code Section 392.001(2), a court order under this section must exempt a total amount on deposit in one or more accounts equal to the monthly equivalent of 250% of the federal poverty guidelines for a family of four from freezing and turnover. This subsection does not apply to the enforcement of court-ordered alimony, child support, or spousal maintenance payments.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Chapter 63, Civil Practices and Remedies Code, is amended by adding Section 63.009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63.009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FOR BASIC NEEDS.  For collection of judgments on consumer debt, as defined by Texas Finance Code Section 392.001(2), a total amount on deposit in one or more accounts equal to the monthly equivalent of 250% of the federal poverty guidelines for a family of four is exempt and shall not be frozen or turned over. A writ of garnishment issued under this chapter to collect a consumer debt must instruct the garnishee to exempt this total amount. This section does not apply to the enforcement of court-ordered alimony, child support, or spousal maintenance payments.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May 1, 2022, the Supreme Court of Texas shall adopt rules and promulgate forms under Section 22.0042,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