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Schwertner, Buckingham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655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Springer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distilled spirits to ultimate consumers by the holder of a distiller's and rectifier's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14.05(c) and (f), Alcoholic Beverage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holder of a distiller's and rectifier's permit may not under Subsection (b) sell more than </w:t>
      </w:r>
      <w:r>
        <w:rPr>
          <w:u w:val="single"/>
        </w:rPr>
        <w:t xml:space="preserve">four</w:t>
      </w:r>
      <w:r>
        <w:t xml:space="preserve"> </w:t>
      </w:r>
      <w:r>
        <w:t xml:space="preserve">[</w:t>
      </w:r>
      <w:r>
        <w:rPr>
          <w:strike/>
        </w:rPr>
        <w:t xml:space="preserve">two</w:t>
      </w:r>
      <w:r>
        <w:t xml:space="preserve">] 750 milliliter bottles of distilled spirits or the equivalent to the same consumer within a 30-day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permit holder must [</w:t>
      </w:r>
      <w:r>
        <w:rPr>
          <w:strike/>
        </w:rPr>
        <w:t xml:space="preserve">check a purchaser's identification and</w:t>
      </w:r>
      <w:r>
        <w:t xml:space="preserve">] keep records of </w:t>
      </w:r>
      <w:r>
        <w:rPr>
          <w:u w:val="single"/>
        </w:rPr>
        <w:t xml:space="preserve">sales</w:t>
      </w:r>
      <w:r>
        <w:t xml:space="preserve"> [</w:t>
      </w:r>
      <w:r>
        <w:rPr>
          <w:strike/>
        </w:rPr>
        <w:t xml:space="preserve">purchases</w:t>
      </w:r>
      <w:r>
        <w:t xml:space="preserve">] in a manner that enables the permit holder to comply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