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657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regular efficiency audits of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Subtitle C, Chapter 31, Human Resources Code, is amended by adding Section 31.019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34.019.</w:t>
      </w:r>
      <w:r>
        <w:rPr>
          <w:u w:val="single"/>
        </w:rPr>
        <w:t xml:space="preserve"> </w:t>
      </w:r>
      <w:r>
        <w:rPr>
          <w:u w:val="single"/>
        </w:rPr>
        <w:t xml:space="preserve"> </w:t>
      </w:r>
      <w:r>
        <w:rPr>
          <w:u w:val="single"/>
        </w:rPr>
        <w:t xml:space="preserve">EFFICIENCY AUDIT.  (a) For purposes of this section, "efficiency audit" means an investigation of the implementation and administration of the Temporary Assistance for Needy Families program established under Part A, Subchapter IV, Social Security Act (42 U.S.C. Section 601 et seq.) and the State Temporary Assistance and Support Services Program authorized by Chapter 34, Human Resources Code for the purpose of assessing the fiscal management of the program, efficiency of resource utilization, and effectiveness of state efforts at achieving the four goals of the program as enumerated in 42 U.S.C. Sec. 601(a).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Auditor shall be responsible for ensuring that the efficiency audit is conducted in accordance with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efficiency audit shall be conducted in fiscal year 2022 with subsequent audits occurring every six years during the even-numbered year immediately preceding the convening of a regular session of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Health and Human Services Commission, as administrator for the Temporary Assistance for Needy Families program in Texas, shall pay for costs associated with an efficiency audit out of existing resources.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Auditor shall select a third-party auditor to conduct an efficiency audit under this section no later than six months before the end of the fiscal year in which an efficiency audit is required.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third-party auditor must maintain independence from all departments subject to evaluation and those receiving or expending funds under the TANF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third-party auditor shall complete the audit not later than three months after the date the auditor was engaged.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Legislative Budget Board shall establish guidelines identifying the scope and areas of investigation of an efficiency audit, including identification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being used effectively and efficiently to achieve desired outcomes for program beneficiaries;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being used for purposes other than the</w:t>
      </w:r>
      <w:r>
        <w:t xml:space="preserve"> </w:t>
      </w:r>
    </w:p>
    <w:p w:rsidR="003F3435" w:rsidRDefault="0032493E">
      <w:pPr>
        <w:spacing w:line="480" w:lineRule="auto"/>
        <w:jc w:val="both"/>
      </w:pPr>
      <w:r>
        <w:rPr>
          <w:u w:val="single"/>
        </w:rPr>
        <w:t xml:space="preserve">intended goals of the TANF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potential cost savings or reallocations;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opportunities for improving services through</w:t>
      </w:r>
      <w:r>
        <w:t xml:space="preserve"> </w:t>
      </w:r>
    </w:p>
    <w:p w:rsidR="003F3435" w:rsidRDefault="0032493E">
      <w:pPr>
        <w:spacing w:line="480" w:lineRule="auto"/>
        <w:jc w:val="both"/>
      </w:pPr>
      <w:r>
        <w:rPr>
          <w:u w:val="single"/>
        </w:rPr>
        <w:t xml:space="preserve">consolidation of essential functions, outsourcing, and elimination of duplicative efforts.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third-party auditor shall prepare and submit a report of the audit and recommendations for efficiency improvements before November 1 of the year the audit is conducted to the governor, the Legislative Budget Board, the State Auditor, the commissioners of each state department reviewed, and the chairs of the House Human Services Committee and the Senate Health and Human Services Committee. The report, recommendations, and full audit shall also be posted to the public websites of the State Auditor and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