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8,</w:t>
      </w:r>
      <w:r xml:space="preserve">
        <w:t> </w:t>
      </w:r>
      <w:r>
        <w:t xml:space="preserve">2021, reported favorably by the following vote:</w:t>
      </w:r>
      <w:r>
        <w:t xml:space="preserve"> </w:t>
      </w:r>
      <w:r>
        <w:t xml:space="preserve"> </w:t>
      </w:r>
      <w:r>
        <w:t xml:space="preserve">Yeas 5, Nays 4;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disannexation of certain areas that do not receive full municipal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43.1415.</w:t>
      </w:r>
      <w:r>
        <w:rPr>
          <w:u w:val="single"/>
        </w:rPr>
        <w:t xml:space="preserve"> </w:t>
      </w:r>
      <w:r>
        <w:rPr>
          <w:u w:val="single"/>
        </w:rPr>
        <w:t xml:space="preserve"> </w:t>
      </w:r>
      <w:r>
        <w:rPr>
          <w:u w:val="single"/>
        </w:rPr>
        <w:t xml:space="preserve">DISANNEXATION OF CERTAIN AREAS NOT RECEIVING FULL SERVICES.  (a)</w:t>
      </w:r>
      <w:r>
        <w:rPr>
          <w:u w:val="single"/>
        </w:rPr>
        <w:t xml:space="preserve"> </w:t>
      </w:r>
      <w:r>
        <w:rPr>
          <w:u w:val="single"/>
        </w:rPr>
        <w:t xml:space="preserve"> </w:t>
      </w:r>
      <w:r>
        <w:rPr>
          <w:u w:val="single"/>
        </w:rPr>
        <w:t xml:space="preserve">This section applies only to an area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receive full municipal services and was exempt from municipal taxation for more than 20 years under an ordinance that provided that the area was exempt from taxation until full municipal services were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annexed for limited purposes before Subchapter F was enacted and has not received at any time full municipal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owning real property wholly or partly located in the area may file a petition requesting the municipality to disannex the portion of the property located in the municipality. </w:t>
      </w:r>
      <w:r>
        <w:rPr>
          <w:u w:val="single"/>
        </w:rPr>
        <w:t xml:space="preserve"> </w:t>
      </w:r>
      <w:r>
        <w:rPr>
          <w:u w:val="single"/>
        </w:rPr>
        <w:t xml:space="preserve">If the property is located in a subdivision, 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disannexation of all real property in the subdivision that is located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signatures of owners of at least 51 percent of the property in the subdivision that is located in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shall disannex the property described by a valid petition filed under Subsection (b) not later than the 30th day after the date the municipality receives the petition. </w:t>
      </w:r>
      <w:r>
        <w:rPr>
          <w:u w:val="single"/>
        </w:rPr>
        <w:t xml:space="preserve"> </w:t>
      </w:r>
      <w:r>
        <w:rPr>
          <w:u w:val="single"/>
        </w:rPr>
        <w:t xml:space="preserve">The filing of the petition creates an irrebuttable presumption that the property is not a part of the municipality. </w:t>
      </w:r>
      <w:r>
        <w:rPr>
          <w:u w:val="single"/>
        </w:rPr>
        <w:t xml:space="preserve"> </w:t>
      </w:r>
      <w:r>
        <w:rPr>
          <w:u w:val="single"/>
        </w:rPr>
        <w:t xml:space="preserve">The presumption may not be contested for any cause after the date the municipality receives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municipality fails to disannex the property as required by Subsection (c), the person filing the petition may bring an action against the municipality to compel disannexation of the property. </w:t>
      </w:r>
      <w:r>
        <w:rPr>
          <w:u w:val="single"/>
        </w:rPr>
        <w:t xml:space="preserve"> </w:t>
      </w:r>
      <w:r>
        <w:rPr>
          <w:u w:val="single"/>
        </w:rPr>
        <w:t xml:space="preserve">If the person prevails, the person may recover attorney's fees and court costs resulting from bringing the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Governmental immunity to suit and from liability of the municipality is waived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