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678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small business disaster recovery loan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481, Government Code, is amended by adding Subchapter cc to read as follows:</w:t>
      </w:r>
    </w:p>
    <w:p w:rsidR="003F3435" w:rsidRDefault="0032493E">
      <w:pPr>
        <w:spacing w:line="480" w:lineRule="auto"/>
        <w:jc w:val="center"/>
      </w:pPr>
      <w:r>
        <w:rPr>
          <w:u w:val="single"/>
        </w:rPr>
        <w:t xml:space="preserve">SUBCHAPTER CC. </w:t>
      </w:r>
      <w:r>
        <w:rPr>
          <w:u w:val="single"/>
        </w:rPr>
        <w:t xml:space="preserve"> </w:t>
      </w:r>
      <w:r>
        <w:rPr>
          <w:u w:val="single"/>
        </w:rPr>
        <w:t xml:space="preserve">SMALL BUSINESS DISASTER RECOVERY LOAN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"Disaster declaration" means a declaration by the governor of a state of disaster under Section 418.014.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means the small business disaster recovery revolving fund created under Section 481.606.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"Small business" has the meaning assigned by Section 481.401.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481.602.</w:t>
      </w:r>
      <w:r>
        <w:rPr>
          <w:u w:val="single"/>
        </w:rPr>
        <w:t xml:space="preserve"> </w:t>
      </w:r>
      <w:r>
        <w:rPr>
          <w:u w:val="single"/>
        </w:rPr>
        <w:t xml:space="preserve"> </w:t>
      </w:r>
      <w:r>
        <w:rPr>
          <w:u w:val="single"/>
        </w:rPr>
        <w:t xml:space="preserve">SMALL BUSINESS DISASTER RECOVERY LOAN PROGRAM.  (a)  The office by rule shall establish a loan program to use money from the fund established under this subchapter to provide financial assistance to small businesses affected by a disaster.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provide financial assistance from the fund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form of a loan to an eligible small business that is located in an area under a disaster declaration;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the period for which the disaster declaration is in effect.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credit to the fund all principal and interest payments on a loan from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481.603.</w:t>
      </w:r>
      <w:r>
        <w:rPr>
          <w:u w:val="single"/>
        </w:rPr>
        <w:t xml:space="preserve"> </w:t>
      </w:r>
      <w:r>
        <w:rPr>
          <w:u w:val="single"/>
        </w:rPr>
        <w:t xml:space="preserve"> </w:t>
      </w:r>
      <w:r>
        <w:rPr>
          <w:u w:val="single"/>
        </w:rPr>
        <w:t xml:space="preserve">ELIGIBILITY FOR LOAN.  The office by rule shall establish the eligibility requirements for a loan to a small business under this subchapter. </w:t>
      </w:r>
      <w:r>
        <w:rPr>
          <w:u w:val="single"/>
        </w:rPr>
        <w:t xml:space="preserve"> </w:t>
      </w:r>
      <w:r>
        <w:rPr>
          <w:u w:val="single"/>
        </w:rPr>
        <w:t xml:space="preserve">The requirements must include that the small business: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 good standing under the laws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owe delinquent taxes to a taxing unit of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suffered physical damage or economic injury as a result of the event leading to the disaster declaration;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paid in full any previous loans received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481.604.</w:t>
      </w:r>
      <w:r>
        <w:rPr>
          <w:u w:val="single"/>
        </w:rPr>
        <w:t xml:space="preserve"> </w:t>
      </w:r>
      <w:r>
        <w:rPr>
          <w:u w:val="single"/>
        </w:rPr>
        <w:t xml:space="preserve"> </w:t>
      </w:r>
      <w:r>
        <w:rPr>
          <w:u w:val="single"/>
        </w:rPr>
        <w:t xml:space="preserve">USES OF LOAN.  An eligible small business may only use a loan received under this subchapter to pay the small business's payroll costs, including costs related to the continuation of health care benefits for the small business's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481.605.</w:t>
      </w:r>
      <w:r>
        <w:rPr>
          <w:u w:val="single"/>
        </w:rPr>
        <w:t xml:space="preserve"> </w:t>
      </w:r>
      <w:r>
        <w:rPr>
          <w:u w:val="single"/>
        </w:rPr>
        <w:t xml:space="preserve"> </w:t>
      </w:r>
      <w:r>
        <w:rPr>
          <w:u w:val="single"/>
        </w:rPr>
        <w:t xml:space="preserve">APPLICATION FOR LOAN.  The office shall develop and implement an application process for an eligible small business to receive a loan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481.606.</w:t>
      </w:r>
      <w:r>
        <w:rPr>
          <w:u w:val="single"/>
        </w:rPr>
        <w:t xml:space="preserve"> </w:t>
      </w:r>
      <w:r>
        <w:rPr>
          <w:u w:val="single"/>
        </w:rPr>
        <w:t xml:space="preserve"> </w:t>
      </w:r>
      <w:r>
        <w:rPr>
          <w:u w:val="single"/>
        </w:rPr>
        <w:t xml:space="preserve">SMALL BUSINESS DISASTER RECOVERY REVOLVING FUND.  (a)</w:t>
      </w:r>
      <w:r>
        <w:rPr>
          <w:u w:val="single"/>
        </w:rPr>
        <w:t xml:space="preserve"> </w:t>
      </w:r>
      <w:r>
        <w:rPr>
          <w:u w:val="single"/>
        </w:rPr>
        <w:t xml:space="preserve"> </w:t>
      </w:r>
      <w:r>
        <w:rPr>
          <w:u w:val="single"/>
        </w:rPr>
        <w:t xml:space="preserve">The small business disaster recovery revolving fund is a special fund outside the state treasury to be used by the office, without further legislative appropriation, for the purpose of providing financial assistance to small businesses in response to a disaster declaration as provided by this subchapter.  The office shall administer the fund.  The office may establish separate accounts in the fund.  The fund and the fund's accounts are kept and held by the trust company in escrow and in trust for and in the name of the office.  The office has legal title to money and investments in the fund until money is disbursed from the fund as provided by this subchapter and office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credit of the fund may be used only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or deposited to the credit of the fund by law, including money from any source transferred or deposited to the credit of the fund at the office's discretion as authorized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proceeds of any fee or tax imposed by this state that by statute is dedicated for deposit to the credit of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revenue that the legislature by statute dedicates for deposit to the credit of the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investment earnings and interest earned on amounts credited to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481.607.</w:t>
      </w:r>
      <w:r>
        <w:rPr>
          <w:u w:val="single"/>
        </w:rPr>
        <w:t xml:space="preserve"> </w:t>
      </w:r>
      <w:r>
        <w:rPr>
          <w:u w:val="single"/>
        </w:rPr>
        <w:t xml:space="preserve"> </w:t>
      </w:r>
      <w:r>
        <w:rPr>
          <w:u w:val="single"/>
        </w:rPr>
        <w:t xml:space="preserve">MANAGEMENT AND INVESTMENT OF FUND.  (a)  The trust company shall hold and invest the fund, and any accounts established in the fund, for and in the name of the office, taking into account the purposes for which money in the fund may be used.  The fund may be co-invested with the state treasury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overall objective for the investment of the fund is to maintain sufficient liquidity to meet the needs of the fund while striving to preserve the purchasing power of the fund.  It is the intent of the legislature that the fund remain available in perpetuity for the purposes of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 company has any power necessary to accomplish the purposes of managing and investing the assets of the fund.  In managing the assets of the fund, through procedures and subject to restrictions the trust company considers appropriate,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 company may recover the costs incurred in managing and investing the fund only from the earnings of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trust company annually shall report to the office with respect to the investment of the fund.  The trust company shall contract with a certified public accountant to conduct an independent audit of the fund annually and shall present the results of each annual audit to the office.  This subsection does not affect the state auditor's authority to conduct an audit of the fund under Chapter 321.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trust company shall adopt an investment policy that is appropriate for the fund.  The trust company shall present the investment policy to the investment advisory board established under Section 404.028.  The investment advisory board shall submit to the trust company recommendations regarding the policy.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office annually shall provide to the trust company a forecast of the cash flows into and out of the fund.  The office shall provide updates to the forecasts as appropriate to ensure that the trust company is able to achieve the objective specified by Subsection (b).</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trust company shall disburse money from the fund as directed by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481.608.</w:t>
      </w:r>
      <w:r>
        <w:rPr>
          <w:u w:val="single"/>
        </w:rPr>
        <w:t xml:space="preserve"> </w:t>
      </w:r>
      <w:r>
        <w:rPr>
          <w:u w:val="single"/>
        </w:rPr>
        <w:t xml:space="preserve"> </w:t>
      </w:r>
      <w:r>
        <w:rPr>
          <w:u w:val="single"/>
        </w:rPr>
        <w:t xml:space="preserve">RULES.  The office shall adopt rules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481.609.</w:t>
      </w:r>
      <w:r>
        <w:rPr>
          <w:u w:val="single"/>
        </w:rPr>
        <w:t xml:space="preserve"> </w:t>
      </w:r>
      <w:r>
        <w:rPr>
          <w:u w:val="single"/>
        </w:rPr>
        <w:t xml:space="preserve"> </w:t>
      </w:r>
      <w:r>
        <w:rPr>
          <w:u w:val="single"/>
        </w:rPr>
        <w:t xml:space="preserve">REPORT.  Not later than December 1 of each even-numbered year, the office shall prepare and submit to the governor, the lieutenant governor, and each member of the legislature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balance of the fund as of the date of the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dollar amount of disbursements from the fund during the two-year period preceding that date;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general description of each small business for which an applicant was awarded a loan from the fund during the two-year period preceding that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Economic Development and Tourism Office and the Texas Treasury Safekeeping Trust Company are required to implement a provision of this Act only if the legislature appropriates money specifically for that purpose.  If the legislature does not appropriate money specifically for that purpose, the office and the trust company may, but are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