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small business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w:t>
      </w:r>
      <w:r>
        <w:rPr>
          <w:u w:val="single"/>
        </w:rPr>
        <w:t xml:space="preserve"> </w:t>
      </w:r>
      <w:r>
        <w:rPr>
          <w:u w:val="single"/>
        </w:rPr>
        <w:t xml:space="preserve">SMALL BUSINESS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small business disaster recovery revolving fund created under Section 481.606.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SMALL BUSINESS DISASTER RECOVERY LOAN PROGRAM.  (a)  The office by rule shall establish a loan program to use money from the fund established under this subchapter to provide financial assistance to small businesses affected by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provide financial assistance from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of a loan to an eligible small business that is located in an area under a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for which the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credit to the fund all principal and interest payments on a loan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ELIGIBILITY FOR LOAN.  The office by rule shall establish the eligibility requirements for a loan to a small business under this subchapter. </w:t>
      </w:r>
      <w:r>
        <w:rPr>
          <w:u w:val="single"/>
        </w:rPr>
        <w:t xml:space="preserve"> </w:t>
      </w:r>
      <w:r>
        <w:rPr>
          <w:u w:val="single"/>
        </w:rPr>
        <w:t xml:space="preserve">The requirements must include that the small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good standing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owe delinquent taxes to a taxing unit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suffered physical damage or economic injury as a result of the event leading to the disaster declaration;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paid in full any previous loans received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USES OF LOAN.  An eligible small business may only use a loan received under this subchapter to pay the small business's payroll costs, including costs related to the continuation of health care benefits for the small business's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FOR LOAN.  The office shall develop and implement an application process for an eligible small business to receive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SMALL BUSINESS DISASTER RECOVERY REVOLVING FUND.  (a)</w:t>
      </w:r>
      <w:r>
        <w:rPr>
          <w:u w:val="single"/>
        </w:rPr>
        <w:t xml:space="preserve"> </w:t>
      </w:r>
      <w:r>
        <w:rPr>
          <w:u w:val="single"/>
        </w:rPr>
        <w:t xml:space="preserve"> </w:t>
      </w:r>
      <w:r>
        <w:rPr>
          <w:u w:val="single"/>
        </w:rPr>
        <w:t xml:space="preserve">The small business disaster recovery revolving fund is a special fund outside the state treasury to be used by the office, without further legislative appropriation, for the purpose of providing financial assistance to small businesses in response to a disaster declaration as provided by this subchapter.  The office shall administer the fund.  The office may establish separate accounts in the fund.  The fund and the fund's accounts are kept and held by the trust company in escrow and in trust for and in the name of the office.  The office has legal title to money and investments in the fund until money is disbursed from the fund as provided by this subchapter and office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office's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office, taking into account the purposes for which money in the fund may be used.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office with respect to the investment of the fund.  The trust company shall contract with a certified public accountant to conduct an independent audit of the fund annually and shall present the results of each annual audit to the office.  This subsection does not affect the state auditor's authority to conduct an audit of the fund under Chapter 321.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annually shall provide to the trust company a forecast of the cash flows into and out of the fund.  The office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RULES.  The office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REPORT.  Not later than December 1 of each even-numbered year, the office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the date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small business for which an applicant was awarded a loan from the fund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Economic Development and Tourism Office and the Texas Treasury Safekeeping Trust Company are required to implement a provision of this Act only if the legislature appropriates money specifically for that purpose.  If the legislature does not appropriate money specifically for that purpose, the office and the trust company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678 passed the Senate on April</w:t>
      </w:r>
      <w:r xml:space="preserve">
        <w:t> </w:t>
      </w:r>
      <w:r>
        <w:t xml:space="preserve">28,</w:t>
      </w:r>
      <w:r xml:space="preserve">
        <w:t> </w:t>
      </w:r>
      <w:r>
        <w:t xml:space="preserve">2021, by the following vote:</w:t>
      </w:r>
      <w:r xml:space="preserve">
        <w:t> </w:t>
      </w:r>
      <w:r xml:space="preserve">
        <w:t> </w:t>
      </w:r>
      <w:r>
        <w:t xml:space="preserve">Yeas</w:t>
      </w:r>
      <w:r xml:space="preserve">
        <w:t> </w:t>
      </w:r>
      <w:r>
        <w:t xml:space="preserve">24,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678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109, Nays</w:t>
      </w:r>
      <w:r xml:space="preserve">
        <w:t> </w:t>
      </w:r>
      <w:r>
        <w:t xml:space="preserve">37,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