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87R6948 EAS-F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access to certain financial records by the guardianship abuse, fraud, and exploitation deterrence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72.121, Government Code, is amended by amending Subdivision (1) and adding Subdivisions (1-a), (1-b), and (3)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"Estate" has the meaning assigned by Section 1002.010, Estates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 "Financial institution" has the meaning assigned by Section 201.101, Finance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(1-b)</w:t>
      </w:r>
      <w:r>
        <w:t xml:space="preserve"> "Guardianship proceeding" has the meaning assigned by Section 1002.015, Estates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"Ward" has the meaning assigned by Section 1002.030, Estates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72, Government Code, is amended by adding Section 72.1221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72.1221.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PROGRAM ACCESS TO FINANCIAL RECORDS.  (a) To the extent allowed and in the manner required by federal law, a financial institution or other person, as applicable, shall on request provide the program with access to financial institution records, accounting records, and other financial records concerning a ward or the ward's estate, including receipts, records of deposits and withdrawals, invoices, bills, and any other records of transactions involving the money or assets of a ward or the ward's estate, for purposes of conducting reviews and audits under the program.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program may request the court in which the guardianship is pending to order a financial institution or other person who possesses the records described by Subsection (a) to provide the records to the program.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notice and a hearing, the court may issue an order requiring the financial institution or other person to provide the records to the program under the conditions the court prescribes.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