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87R8173 CXP-D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conditions on the continued receipt of tuition and fee benefits at public institutions of higher education for senior citizens.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54.2001(g),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This section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waiver provided by Section 54.216 or any other reduction in tuition provided to a high school student for enrollment in a dual credit course or other course for which the student may earn joint high school and college credit;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exemption provided by Section 54.341(a-2)(1)(A), (B), (C), or (D) or (b)(1)(A), (B), (C), or (D);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exemption provided by Section 54.342, 54.366, or 54.367;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benefit provided by Section 54.365(c);</w:t>
      </w:r>
      <w:r>
        <w:t xml:space="preserve">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 xml:space="preserve">
        <w:t> </w:t>
      </w:r>
      <w:r>
        <w:t xml:space="preserve">[</w:t>
      </w:r>
      <w:r>
        <w:rPr>
          <w:strike/>
        </w:rPr>
        <w:t xml:space="preserve">(4)</w:t>
      </w:r>
      <w:r>
        <w:t xml:space="preserve">]</w:t>
      </w:r>
      <w:r xml:space="preserve">
        <w:t> </w:t>
      </w:r>
      <w:r xml:space="preserve">
        <w:t> </w:t>
      </w:r>
      <w:r>
        <w:t xml:space="preserve">any provision of this code that authorizes or requires the payment of tuition or fees at the rates provided for residents of this state by a person who is not a resident of this state for purposes of Subchapter B.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