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Water, Agriculture &amp; Rural Affairs;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study of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legislature shall establish a joint interim committee to study the conversion of surface mine pits and quarries to water storage reservoirs in order to enhance this state's available water supply.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joint interim committee is composed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members of the Senate Natural Resources and Economic Development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members of the Senate Water, Agriculture and Rural Affairs Committee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members of the House Natural Resources Committee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members of the House Energy Resources Committee appointed by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lieutenant governor or the speaker of the house of representatives, as applicable, may not appoint more than three members from a committee described by Subsection (b) of this section to the joint interim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lieutenant governor and the speaker of the house of representatives shall jointly designate a chair or, alternatively, designate two co-chairs from among the committee membership.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committee may adopt rules as necessary to carry out the committee's duties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Commission on Environmental Quality, the Railroad Commission of Texas, and the Texas Water Development Board shall provide administrative support and resources to the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Not later than December 1, 2022, the committee shall prepare and deliver a report to the governor and the legislature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an overview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lignite industry in this state and final reclamation practices of that industry;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large sand and gravel producers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identifies surface mine pits and quarries that could potentially be used as water storage reservoirs and provides the following information for each location: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volume of water that could be stored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predicted water quality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predicted effect on watersheds surrounding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sustainability of a reservoir created at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reclamation status of the location;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information needed to assess ownership issues at the location, including any constraint that the ownership of the property may impose on the use of the property as a reservoir;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comparison of the estimated cost of converting the location into a reservoir and the estimated cost of filling in and regrading the location to the approximate original contour;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contains a map of the locations identified under Subdivision (2) of this subsection;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provides a review of the regulatory issues and constraints associated with converting surface mine pits and quarries into reservoirs;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summarizes the effect that a statewide initiative to convert surface mine pits and quarries into reservoirs would have on state water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committee is abolished and this Act expires January 10,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