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Prepaid Higher Education Tuition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54.603, Education Code, is amended to read as follows:</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SUNSET PROVISION.  The Prepaid Higher Education Tuition Board is subject to Chapter 325, Government Code (Texas Sunset Act). </w:t>
      </w:r>
      <w:r>
        <w:t xml:space="preserve"> </w:t>
      </w:r>
      <w:r>
        <w:t xml:space="preserve">Unless continued in existence as provided by that chapter, the board is abolished [</w:t>
      </w:r>
      <w:r>
        <w:rPr>
          <w:strike/>
        </w:rPr>
        <w:t xml:space="preserve">and the programs established under this subchapter and under Subchapters G and H terminate</w:t>
      </w:r>
      <w:r>
        <w:t xml:space="preserve">] September 1, </w:t>
      </w:r>
      <w:r>
        <w:rPr>
          <w:u w:val="single"/>
        </w:rPr>
        <w:t xml:space="preserve">2033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54.610, Education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w:t>
      </w:r>
      <w:r>
        <w:t xml:space="preserve">] training program </w:t>
      </w:r>
      <w:r>
        <w:rPr>
          <w:u w:val="single"/>
        </w:rPr>
        <w:t xml:space="preserve">must</w:t>
      </w:r>
      <w:r>
        <w:t xml:space="preserve"> [</w:t>
      </w:r>
      <w:r>
        <w:rPr>
          <w:strike/>
        </w:rPr>
        <w:t xml:space="preserve">established under this section shall</w:t>
      </w:r>
      <w:r>
        <w:t xml:space="preserve">] provide </w:t>
      </w:r>
      <w:r>
        <w:rPr>
          <w:u w:val="single"/>
        </w:rPr>
        <w:t xml:space="preserve">the person with</w:t>
      </w:r>
      <w:r>
        <w:t xml:space="preserve"> information [</w:t>
      </w:r>
      <w:r>
        <w:rPr>
          <w:strike/>
        </w:rPr>
        <w:t xml:space="preserve">to the member</w:t>
      </w:r>
      <w:r>
        <w:t xml:space="preserve">]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enabling 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 [</w:t>
      </w:r>
      <w:r>
        <w:rPr>
          <w:strike/>
        </w:rPr>
        <w:t xml:space="preserve">the</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open meetings</w:t>
      </w:r>
      <w:r>
        <w:rPr>
          <w:u w:val="single"/>
        </w:rPr>
        <w:t xml:space="preserve">, public information,</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open records law, Chapter 552, Government Code;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administrative procedure</w:t>
      </w:r>
      <w:r>
        <w:rPr>
          <w:u w:val="single"/>
        </w:rPr>
        <w:t xml:space="preserve">, and disclosing conflicts</w:t>
      </w:r>
      <w:r>
        <w:t xml:space="preserve"> [</w:t>
      </w:r>
      <w:r>
        <w:rPr>
          <w:strike/>
        </w:rPr>
        <w:t xml:space="preserve">law, Chapter 2001, Government Code;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requirements of the conflict</w:t>
      </w:r>
      <w:r>
        <w:t xml:space="preserve">] of interest</w:t>
      </w:r>
      <w:r>
        <w:rPr>
          <w:u w:val="single"/>
        </w:rPr>
        <w:t xml:space="preserve">;</w:t>
      </w:r>
      <w:r>
        <w:t xml:space="preserve"> [</w:t>
      </w:r>
      <w:r>
        <w:rPr>
          <w:strike/>
        </w:rPr>
        <w:t xml:space="preserve">laws</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(9)</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board shall create a training manual that includes the information required by Subsection (b). </w:t>
      </w:r>
      <w:r>
        <w:rPr>
          <w:u w:val="single"/>
        </w:rPr>
        <w:t xml:space="preserve"> </w:t>
      </w:r>
      <w:r>
        <w:rPr>
          <w:u w:val="single"/>
        </w:rPr>
        <w:t xml:space="preserve">The executive director shall distribute a copy of the training manual annually to each board member. </w:t>
      </w:r>
      <w:r>
        <w:rPr>
          <w:u w:val="single"/>
        </w:rPr>
        <w:t xml:space="preserve"> </w:t>
      </w:r>
      <w:r>
        <w:rPr>
          <w:u w:val="single"/>
        </w:rPr>
        <w:t xml:space="preserve">Each board member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54.617(e),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board shall periodically notify the complaint parties of the status of the complaint until final disposition </w:t>
      </w:r>
      <w:r>
        <w:rPr>
          <w:u w:val="single"/>
        </w:rPr>
        <w:t xml:space="preserve">unless the notice would jeopardize an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54, Education Code, is amended by adding Section 54.6181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54.6181.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board by rule may establish advisory committees to make recommendations to the board on programs, rules, and policies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board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 of Chapter 551, Government Code, applicable to the board or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Government Code, does not apply to an advisory committee created by the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Except as provided by Subsection (b) of this section, Section 54.610, Education Code, as amended by this Act, applies to a member of the Prepaid Higher Education Tuition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Prepaid Higher Education Tuition Board who, before the effective date of this Act, completed the training program required by Section 54.610, Education Code, as that law existed before the effective date of this Act, is only required to complete additional training on the subjects added by this Act to the training program required by Section 54.610, Education Code. </w:t>
      </w:r>
      <w:r>
        <w:t xml:space="preserve"> </w:t>
      </w:r>
      <w:r>
        <w:t xml:space="preserve">A board member described by this subsection may not vote, deliberate, or be counted as a member in attendance at a meeting of the board held on or after December 1, 2021, until the member completes the additional training.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702 passed the Senate on April</w:t>
      </w:r>
      <w:r xml:space="preserve">
        <w:t> </w:t>
      </w:r>
      <w:r>
        <w:t xml:space="preserve">6,</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702 passed the House on May</w:t>
      </w:r>
      <w:r xml:space="preserve">
        <w:t> </w:t>
      </w:r>
      <w:r>
        <w:t xml:space="preserve">19,</w:t>
      </w:r>
      <w:r xml:space="preserve">
        <w:t> </w:t>
      </w:r>
      <w:r>
        <w:t xml:space="preserve">2021, by the following vote:</w:t>
      </w:r>
      <w:r xml:space="preserve">
        <w:t> </w:t>
      </w:r>
      <w:r xml:space="preserve">
        <w:t> </w:t>
      </w:r>
      <w:r>
        <w:t xml:space="preserve">Yeas</w:t>
      </w:r>
      <w:r xml:space="preserve">
        <w:t> </w:t>
      </w:r>
      <w:r>
        <w:t xml:space="preserve">133, Nays</w:t>
      </w:r>
      <w:r xml:space="preserve">
        <w:t> </w:t>
      </w:r>
      <w:r>
        <w:t xml:space="preserve">13,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