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87R6033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S.B.</w:t>
      </w:r>
      <w:r xml:space="preserve">
        <w:t> </w:t>
      </w:r>
      <w:r>
        <w:t xml:space="preserve">No.</w:t>
      </w:r>
      <w:r xml:space="preserve">
        <w:t> </w:t>
      </w:r>
      <w:r>
        <w:t xml:space="preserve">720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division of the CLL Municipal Utility District No. 1 and districts created by the division of the CLL Municipal Utility District No. 1.</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8109.101(a), Special District Local Laws Code, is amended to read as follows:</w:t>
      </w:r>
    </w:p>
    <w:p w:rsidR="003F3435" w:rsidRDefault="0032493E">
      <w:pPr>
        <w:spacing w:line="480" w:lineRule="auto"/>
        <w:ind w:firstLine="720"/>
        <w:jc w:val="both"/>
      </w:pPr>
      <w:r>
        <w:t xml:space="preserve">(a)</w:t>
      </w:r>
      <w:r xml:space="preserve">
        <w:t> </w:t>
      </w:r>
      <w:r xml:space="preserve">
        <w:t> </w:t>
      </w:r>
      <w:r>
        <w:t xml:space="preserve">At any time before the district issues indebtedness secured by taxes or net revenues, the district, including any annexed territory, may be divided into an original district and one or more new districts. The board shall determine which portion of the divided area constitutes the original district. </w:t>
      </w:r>
      <w:r>
        <w:rPr>
          <w:u w:val="single"/>
        </w:rPr>
        <w:t xml:space="preserve">The original district and a district created by the division of the original district may be divided under this section more than once.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