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721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appraisal reports in connection with the use of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21.0111, Property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entity seeking to acquire real property through the use of eminent domain shall, not later than the third business day before the date of a special commissioner's hearing, disclose to the property owner any and all current and existing appraisal reports produced or acquired by the entity relating specifically to the owner's property and used in determining the entity's opinion of value, if an appraisal report is to be used at the hearing.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condemnation proceeding commenced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