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87R1441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appraisal reports in connection with the use of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entity seeking to acquire real property through the use of eminent domain shall, not later than the third business day before the date of a special commissioner's hearing, disclose to the property owner any and all current and existing appraisal reports produced or acquired by the entity relating specifically to the owner's property and used in determining the entity's opinion of value, if an appraisal report is to be used at the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condemnation proceeding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