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743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of the independent organization to ensure access, reliability, adequacy, production, and market information of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UTILITY CODE, is amended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the use of a professional search firm to identify candidates for membership of unaffiliated members.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(7)</w:t>
      </w:r>
      <w:r xml:space="preserve">
        <w:t> </w:t>
      </w:r>
      <w:r xml:space="preserve">
        <w:t> </w:t>
      </w:r>
      <w:r>
        <w:t xml:space="preserve">five members unaffiliated with any market segment and selected by the other members of the governing body to serve three-year terms.</w:t>
      </w:r>
    </w:p>
    <w:p w:rsidR="003F3435" w:rsidRDefault="0032493E">
      <w:pPr>
        <w:spacing w:line="480" w:lineRule="auto"/>
        <w:ind w:firstLine="720"/>
        <w:jc w:val="both"/>
      </w:pPr>
      <w:r>
        <w:t xml:space="preserve">(g-1)</w:t>
      </w:r>
      <w:r xml:space="preserve">
        <w:t> </w:t>
      </w:r>
      <w:r xml:space="preserve">
        <w:t> </w:t>
      </w:r>
      <w:r>
        <w:t xml:space="preserve">The presiding officer of the governing body must be one of the members described by Subsection (g)(7)</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maintain certification as an independent organization under this section, all board members of the governing body under this Subsection must be a resident of Texas for tax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An independent organization certified under</w:t>
      </w:r>
    </w:p>
    <w:p w:rsidR="003F3435" w:rsidRDefault="0032493E">
      <w:pPr>
        <w:spacing w:line="480" w:lineRule="auto"/>
        <w:jc w:val="both"/>
      </w:pPr>
      <w:r>
        <w:t xml:space="preserve">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w:t>
      </w:r>
    </w:p>
    <w:p w:rsidR="003F3435" w:rsidRDefault="0032493E">
      <w:pPr>
        <w:spacing w:line="480" w:lineRule="auto"/>
        <w:jc w:val="both"/>
      </w:pPr>
      <w:r>
        <w:t xml:space="preserve">39.151, Utilities Code, by the Public Utility Commission of Texas</w:t>
      </w:r>
    </w:p>
    <w:p w:rsidR="003F3435" w:rsidRDefault="0032493E">
      <w:pPr>
        <w:spacing w:line="480" w:lineRule="auto"/>
        <w:jc w:val="both"/>
      </w:pPr>
      <w:r>
        <w:t xml:space="preserve">before September 1, 2021, shall ensure that the chief executive</w:t>
      </w:r>
    </w:p>
    <w:p w:rsidR="003F3435" w:rsidRDefault="0032493E">
      <w:pPr>
        <w:spacing w:line="480" w:lineRule="auto"/>
        <w:jc w:val="both"/>
      </w:pPr>
      <w:r>
        <w:t xml:space="preserve">officer of the organization is a resident of this state as soon as</w:t>
      </w:r>
    </w:p>
    <w:p w:rsidR="003F3435" w:rsidRDefault="0032493E">
      <w:pPr>
        <w:spacing w:line="480" w:lineRule="auto"/>
        <w:jc w:val="both"/>
      </w:pPr>
      <w:r>
        <w:t xml:space="preserve">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w:t>
      </w:r>
    </w:p>
    <w:p w:rsidR="003F3435" w:rsidRDefault="0032493E">
      <w:pPr>
        <w:spacing w:line="480" w:lineRule="auto"/>
        <w:jc w:val="both"/>
      </w:pPr>
      <w:r>
        <w:t xml:space="preserve">of Texas may decertify an independent organization whose governing</w:t>
      </w:r>
    </w:p>
    <w:p w:rsidR="003F3435" w:rsidRDefault="0032493E">
      <w:pPr>
        <w:spacing w:line="480" w:lineRule="auto"/>
        <w:jc w:val="both"/>
      </w:pPr>
      <w:r>
        <w:t xml:space="preserve">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