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87R1017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 of a client's money and property by an attorney representing the client; creating civil liability.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82, Government Code, is amended by adding Section 82.0625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82.0625.</w:t>
      </w:r>
      <w:r>
        <w:rPr>
          <w:u w:val="single"/>
        </w:rPr>
        <w:t xml:space="preserve"> </w:t>
      </w:r>
      <w:r>
        <w:rPr>
          <w:u w:val="single"/>
        </w:rPr>
        <w:t xml:space="preserve"> </w:t>
      </w:r>
      <w:r>
        <w:rPr>
          <w:u w:val="single"/>
        </w:rPr>
        <w:t xml:space="preserve">PROTECTION OF CLIENT MONEY AND PROPERTY; LICENSE SUSPENSION; CIVIL LIABILITY. </w:t>
      </w:r>
      <w:r>
        <w:rPr>
          <w:u w:val="single"/>
        </w:rPr>
        <w:t xml:space="preserve"> </w:t>
      </w:r>
      <w:r>
        <w:rPr>
          <w:u w:val="single"/>
        </w:rPr>
        <w:t xml:space="preserve">(a)  This section applies only to an attorney who receives for a client represented by the attorney money or other property paid to settle a claim in which the client has an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immediately notify the client on the attorney's receipt of the money or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pay to a third person a claim owed by the client using the money or property only with the client's consent unless other law requires the attorney to pay the claim to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who violates Subsection (b) may be suspended from the practice of law for not more than six months by a district court of the county in which the attorney resides or in which the act complained of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attorney who violates Subsection (b) is subject to civil liability for the violation.  A person may bring a civil action against the attorney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damages in an amount equal to the amount of money or value of the property received by the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at a rate not to exceed the judgment rate authorized in the most recent Texas Credit Letter published by the Office of Consumer Credit Commissioner;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82.0625, Government Code, as added by this Act, applies only to money or other property received by an attorney for a client on or after the effective date of this Act.  Money or other property received by an attorney for a client before the effective date of this Act is governed by the law in effect on the date the money or other property was received,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