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763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urban air mobility advisory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21, Transportation Code, is amended by adding Section 21.004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21.004.</w:t>
      </w:r>
      <w:r>
        <w:rPr>
          <w:u w:val="single"/>
        </w:rPr>
        <w:t xml:space="preserve"> </w:t>
      </w:r>
      <w:r>
        <w:rPr>
          <w:u w:val="single"/>
        </w:rPr>
        <w:t xml:space="preserve"> </w:t>
      </w:r>
      <w:r>
        <w:rPr>
          <w:u w:val="single"/>
        </w:rPr>
        <w:t xml:space="preserve">URBAN AIR MOBILITY ADVISORY COMMITTEE.  (a)  The commission shall appoint an advisory committee to assess current state law and any potential changes to state law that are needed to facilitate the development of urban air mobility operations and infrastructure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appoint to the advisory committee members to represent: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diverse geographic regions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and local law enforcement;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urban air mobility industry;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transportation experts;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commercial airport representatives;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vertical takeoff and landing operators;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local governments;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general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hold public hearings in locations across the state or via electronic means;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 comments through an Internet website, by mail, and by other methods, if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2022, the advisory committee shall report to the commission and to the members of the legislature the committee's findings and recommendations on any changes to state law that are needed to facilitate the development of urban air mobility operations and infrastructure.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advisory committee is abolished and this section expires January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763 passed the Senate on April</w:t>
      </w:r>
      <w:r xml:space="preserve">
        <w:t> </w:t>
      </w:r>
      <w:r>
        <w:t xml:space="preserve">20,</w:t>
      </w:r>
      <w:r xml:space="preserve">
        <w:t> </w:t>
      </w:r>
      <w:r>
        <w:t xml:space="preserve">2021, by the following vote:  Yeas</w:t>
      </w:r>
      <w:r xml:space="preserve">
        <w:t> </w:t>
      </w:r>
      <w:r>
        <w:t xml:space="preserve">30, Nays</w:t>
      </w:r>
      <w:r xml:space="preserve">
        <w:t> </w:t>
      </w:r>
      <w:r>
        <w:t xml:space="preserve">1; and that the Senate concurred in House amendment on May</w:t>
      </w:r>
      <w:r xml:space="preserve">
        <w:t> </w:t>
      </w:r>
      <w:r>
        <w:t xml:space="preserve">27,</w:t>
      </w:r>
      <w:r xml:space="preserve">
        <w:t> </w:t>
      </w:r>
      <w:r>
        <w:t xml:space="preserve">2021, by the following vote:  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763 passed the House, with amendment, on May</w:t>
      </w:r>
      <w:r xml:space="preserve">
        <w:t> </w:t>
      </w:r>
      <w:r>
        <w:t xml:space="preserve">11,</w:t>
      </w:r>
      <w:r xml:space="preserve">
        <w:t> </w:t>
      </w:r>
      <w:r>
        <w:t xml:space="preserve">2021, by the following vote:  Yeas</w:t>
      </w:r>
      <w:r xml:space="preserve">
        <w:t> </w:t>
      </w:r>
      <w:r>
        <w:t xml:space="preserve">110, Nays</w:t>
      </w:r>
      <w:r xml:space="preserve">
        <w:t> </w:t>
      </w:r>
      <w:r>
        <w:t xml:space="preserve">33,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