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87R5914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763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urban air mobility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w:t>
      </w:r>
      <w:r>
        <w:rPr>
          <w:u w:val="single"/>
        </w:rPr>
        <w:t xml:space="preserve"> </w:t>
      </w:r>
      <w:r>
        <w:rPr>
          <w:u w:val="single"/>
        </w:rPr>
        <w:t xml:space="preserve"> </w:t>
      </w:r>
      <w:r>
        <w:rPr>
          <w:u w:val="single"/>
        </w:rPr>
        <w:t xml:space="preserve">URBAN AIR MOBILITY ADVISORY COMMITTEE.  (a)  The commission shall appoint an advisory committee to assess current state law and any potential changes to state law that are needed to facilitate the development of urban air mobility operations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urban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2022, the advisory committee shall report to the commission and to the members of the legislature the committee's findings and recommendations on any changes to state law that are needed to facilitate the development of urban air mobility operations and infrastructure.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is abolished and this section expires January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